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67" w:rsidRPr="00902067" w:rsidRDefault="00902067" w:rsidP="00902067">
      <w:pPr>
        <w:spacing w:before="100" w:beforeAutospacing="1" w:afterAutospacing="1" w:line="240" w:lineRule="auto"/>
        <w:outlineLvl w:val="0"/>
        <w:rPr>
          <w:rFonts w:ascii="Times New Roman" w:eastAsia="Times New Roman" w:hAnsi="Times New Roman" w:cs="Times New Roman"/>
          <w:b/>
          <w:bCs/>
          <w:kern w:val="36"/>
          <w:sz w:val="48"/>
          <w:szCs w:val="48"/>
        </w:rPr>
      </w:pPr>
      <w:r w:rsidRPr="00902067">
        <w:rPr>
          <w:rFonts w:ascii="Times New Roman" w:eastAsia="Times New Roman" w:hAnsi="Times New Roman" w:cs="Times New Roman"/>
          <w:b/>
          <w:bCs/>
          <w:kern w:val="36"/>
          <w:sz w:val="48"/>
          <w:szCs w:val="48"/>
        </w:rPr>
        <w:t>Geo-economic and Currency Multi-polarity</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hyperlink r:id="rId4" w:tooltip="More Articles by Dr Atique Ur Rehman" w:history="1">
        <w:r w:rsidRPr="00902067">
          <w:rPr>
            <w:rFonts w:ascii="Times New Roman" w:eastAsia="Times New Roman" w:hAnsi="Times New Roman" w:cs="Times New Roman"/>
            <w:color w:val="0000FF"/>
            <w:szCs w:val="24"/>
            <w:u w:val="single"/>
          </w:rPr>
          <w:t xml:space="preserve">Dr </w:t>
        </w:r>
        <w:proofErr w:type="spellStart"/>
        <w:r w:rsidRPr="00902067">
          <w:rPr>
            <w:rFonts w:ascii="Times New Roman" w:eastAsia="Times New Roman" w:hAnsi="Times New Roman" w:cs="Times New Roman"/>
            <w:color w:val="0000FF"/>
            <w:szCs w:val="24"/>
            <w:u w:val="single"/>
          </w:rPr>
          <w:t>Atique</w:t>
        </w:r>
        <w:proofErr w:type="spellEnd"/>
        <w:r w:rsidRPr="00902067">
          <w:rPr>
            <w:rFonts w:ascii="Times New Roman" w:eastAsia="Times New Roman" w:hAnsi="Times New Roman" w:cs="Times New Roman"/>
            <w:color w:val="0000FF"/>
            <w:szCs w:val="24"/>
            <w:u w:val="single"/>
          </w:rPr>
          <w:t xml:space="preserve"> Ur </w:t>
        </w:r>
        <w:proofErr w:type="spellStart"/>
        <w:r w:rsidRPr="00902067">
          <w:rPr>
            <w:rFonts w:ascii="Times New Roman" w:eastAsia="Times New Roman" w:hAnsi="Times New Roman" w:cs="Times New Roman"/>
            <w:color w:val="0000FF"/>
            <w:szCs w:val="24"/>
            <w:u w:val="single"/>
          </w:rPr>
          <w:t>Rehman</w:t>
        </w:r>
        <w:proofErr w:type="spellEnd"/>
      </w:hyperlink>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March 26, 2025 </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Global economic dynamics have shifted in recent years, calling into question the US dollar’s long-held primacy. The dollar’s status as the primary reserve currency after World War II and the </w:t>
      </w:r>
      <w:proofErr w:type="spellStart"/>
      <w:r w:rsidRPr="00902067">
        <w:rPr>
          <w:rFonts w:ascii="Times New Roman" w:eastAsia="Times New Roman" w:hAnsi="Times New Roman" w:cs="Times New Roman"/>
          <w:szCs w:val="24"/>
        </w:rPr>
        <w:t>Bretton</w:t>
      </w:r>
      <w:proofErr w:type="spellEnd"/>
      <w:r w:rsidRPr="00902067">
        <w:rPr>
          <w:rFonts w:ascii="Times New Roman" w:eastAsia="Times New Roman" w:hAnsi="Times New Roman" w:cs="Times New Roman"/>
          <w:szCs w:val="24"/>
        </w:rPr>
        <w:t xml:space="preserve"> Woods Conference is being challenged by new geopolitical, technological, and economic factors. Today, new currencies and alternative payment channels are increasingly being discussed, not only as a means of diversifying away from dollar dependency but also as prospective alternatives that, in certain cases, may even outperform the dollar.</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Recent geopolitical realignments have fueled de-dollarization movements. It appears to have begun with the aggressive deployment of US financial penalties in response to Russia’s invasion of Ukraine, as well as economic sanctions on Iran, which has motivated several governments to investigate alternatives that limit their exposure to dollar weaknesses.</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Regional security considerations and the concept of “friend-shoring” have pushed governments to align their trade and financial activities with political friends rather than being constrained by a universal currency dictated by US policy. This reconfiguration is visible in conversations among BRICS countries, especially India, who </w:t>
      </w:r>
      <w:proofErr w:type="gramStart"/>
      <w:r w:rsidRPr="00902067">
        <w:rPr>
          <w:rFonts w:ascii="Times New Roman" w:eastAsia="Times New Roman" w:hAnsi="Times New Roman" w:cs="Times New Roman"/>
          <w:szCs w:val="24"/>
        </w:rPr>
        <w:t>are increasingly preferring</w:t>
      </w:r>
      <w:proofErr w:type="gramEnd"/>
      <w:r w:rsidRPr="00902067">
        <w:rPr>
          <w:rFonts w:ascii="Times New Roman" w:eastAsia="Times New Roman" w:hAnsi="Times New Roman" w:cs="Times New Roman"/>
          <w:szCs w:val="24"/>
        </w:rPr>
        <w:t xml:space="preserve"> non-dollar dealings. In many cases, these efforts are intended to both reduce exposure to external financial pressures and directly challenge the geopolitical leverage provided by the dollar’s network effects.</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Parallel to geopolitical realignments, fundamental developments in the global economy are pushing a rethinking of the dominant currency model. A rising number of emerging economies have seen rapid growth and greater integration into global supply chains. They are now in a better position to influence trade settlement rules. There is evidence that these economies are undertaking measures aimed at reducing dollar dependency in both public and private interactions. India is at the vanguard of adopting an alternative global monetary regime as part of the BRICS, as well as pursuing its aim of having an independent foreign policy choice outside of the US.</w:t>
      </w:r>
    </w:p>
    <w:p w:rsidR="00902067" w:rsidRPr="00902067" w:rsidRDefault="00902067" w:rsidP="00902067">
      <w:pPr>
        <w:spacing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Parallel to geopolitical realignments, fundamental developments in the global economy are pushing a rethinking of the dominant currency model.</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Emerging markets and developing economies (EMDEs) frequently discover that the prevalent practice of dominant currency pricing, in which enterprises set prices in dollars independent of their domestic currencies, restricts the potential benefits of a weaker local currency in terms of </w:t>
      </w:r>
      <w:r w:rsidRPr="00902067">
        <w:rPr>
          <w:rFonts w:ascii="Times New Roman" w:eastAsia="Times New Roman" w:hAnsi="Times New Roman" w:cs="Times New Roman"/>
          <w:szCs w:val="24"/>
        </w:rPr>
        <w:lastRenderedPageBreak/>
        <w:t>export growth. This occurrence has heightened global interest in a more balanced currency design that reflects diverse economic powerhouses instead of a single dominant nation.</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Technological advancements, particularly in financial technology (</w:t>
      </w:r>
      <w:proofErr w:type="spellStart"/>
      <w:r w:rsidRPr="00902067">
        <w:rPr>
          <w:rFonts w:ascii="Times New Roman" w:eastAsia="Times New Roman" w:hAnsi="Times New Roman" w:cs="Times New Roman"/>
          <w:szCs w:val="24"/>
        </w:rPr>
        <w:t>FinTech</w:t>
      </w:r>
      <w:proofErr w:type="spellEnd"/>
      <w:r w:rsidRPr="00902067">
        <w:rPr>
          <w:rFonts w:ascii="Times New Roman" w:eastAsia="Times New Roman" w:hAnsi="Times New Roman" w:cs="Times New Roman"/>
          <w:szCs w:val="24"/>
        </w:rPr>
        <w:t xml:space="preserve">), as well as the development of digital currencies, are being investigated as potential alternatives to established currencies for certain transactional functions, even though </w:t>
      </w:r>
      <w:proofErr w:type="spellStart"/>
      <w:r w:rsidRPr="00902067">
        <w:rPr>
          <w:rFonts w:ascii="Times New Roman" w:eastAsia="Times New Roman" w:hAnsi="Times New Roman" w:cs="Times New Roman"/>
          <w:szCs w:val="24"/>
        </w:rPr>
        <w:t>cryptocurrencies</w:t>
      </w:r>
      <w:proofErr w:type="spellEnd"/>
      <w:r w:rsidRPr="00902067">
        <w:rPr>
          <w:rFonts w:ascii="Times New Roman" w:eastAsia="Times New Roman" w:hAnsi="Times New Roman" w:cs="Times New Roman"/>
          <w:szCs w:val="24"/>
        </w:rPr>
        <w:t xml:space="preserve"> are still highly volatile and subject to regulatory scrutiny. El Salvador and the Marshall Islands have experimented with legalizing </w:t>
      </w:r>
      <w:proofErr w:type="spellStart"/>
      <w:r w:rsidRPr="00902067">
        <w:rPr>
          <w:rFonts w:ascii="Times New Roman" w:eastAsia="Times New Roman" w:hAnsi="Times New Roman" w:cs="Times New Roman"/>
          <w:szCs w:val="24"/>
        </w:rPr>
        <w:t>Bitcoin</w:t>
      </w:r>
      <w:proofErr w:type="spellEnd"/>
      <w:r w:rsidRPr="00902067">
        <w:rPr>
          <w:rFonts w:ascii="Times New Roman" w:eastAsia="Times New Roman" w:hAnsi="Times New Roman" w:cs="Times New Roman"/>
          <w:szCs w:val="24"/>
        </w:rPr>
        <w:t xml:space="preserve"> or creating their sovereign </w:t>
      </w:r>
      <w:proofErr w:type="spellStart"/>
      <w:r w:rsidRPr="00902067">
        <w:rPr>
          <w:rFonts w:ascii="Times New Roman" w:eastAsia="Times New Roman" w:hAnsi="Times New Roman" w:cs="Times New Roman"/>
          <w:szCs w:val="24"/>
        </w:rPr>
        <w:t>cryptocurrency</w:t>
      </w:r>
      <w:proofErr w:type="spellEnd"/>
      <w:r w:rsidRPr="00902067">
        <w:rPr>
          <w:rFonts w:ascii="Times New Roman" w:eastAsia="Times New Roman" w:hAnsi="Times New Roman" w:cs="Times New Roman"/>
          <w:szCs w:val="24"/>
        </w:rPr>
        <w:t xml:space="preserve">, fueling arguments about the future role of centralized </w:t>
      </w:r>
      <w:proofErr w:type="spellStart"/>
      <w:r w:rsidRPr="00902067">
        <w:rPr>
          <w:rFonts w:ascii="Times New Roman" w:eastAsia="Times New Roman" w:hAnsi="Times New Roman" w:cs="Times New Roman"/>
          <w:szCs w:val="24"/>
        </w:rPr>
        <w:t>vs</w:t>
      </w:r>
      <w:proofErr w:type="spellEnd"/>
      <w:r w:rsidRPr="00902067">
        <w:rPr>
          <w:rFonts w:ascii="Times New Roman" w:eastAsia="Times New Roman" w:hAnsi="Times New Roman" w:cs="Times New Roman"/>
          <w:szCs w:val="24"/>
        </w:rPr>
        <w:t xml:space="preserve"> decentralized digital assets in the global financial system.</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When evaluating the possibility of new currencies to replace the US dollar, it is critical to examine the primary alternatives now under consideration: the euro, the Chinese </w:t>
      </w:r>
      <w:proofErr w:type="spellStart"/>
      <w:r w:rsidRPr="00902067">
        <w:rPr>
          <w:rFonts w:ascii="Times New Roman" w:eastAsia="Times New Roman" w:hAnsi="Times New Roman" w:cs="Times New Roman"/>
          <w:szCs w:val="24"/>
        </w:rPr>
        <w:t>yuan</w:t>
      </w:r>
      <w:proofErr w:type="spellEnd"/>
      <w:r w:rsidRPr="00902067">
        <w:rPr>
          <w:rFonts w:ascii="Times New Roman" w:eastAsia="Times New Roman" w:hAnsi="Times New Roman" w:cs="Times New Roman"/>
          <w:szCs w:val="24"/>
        </w:rPr>
        <w:t xml:space="preserve">, the International Monetary Fund’s Special Drawing Rights (SDR), and </w:t>
      </w:r>
      <w:proofErr w:type="spellStart"/>
      <w:r w:rsidRPr="00902067">
        <w:rPr>
          <w:rFonts w:ascii="Times New Roman" w:eastAsia="Times New Roman" w:hAnsi="Times New Roman" w:cs="Times New Roman"/>
          <w:szCs w:val="24"/>
        </w:rPr>
        <w:t>cryptocurrencies</w:t>
      </w:r>
      <w:proofErr w:type="spellEnd"/>
      <w:r w:rsidRPr="00902067">
        <w:rPr>
          <w:rFonts w:ascii="Times New Roman" w:eastAsia="Times New Roman" w:hAnsi="Times New Roman" w:cs="Times New Roman"/>
          <w:szCs w:val="24"/>
        </w:rPr>
        <w:t>.</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The euro is the most obvious competitor to the US dollar because it is already the second most widely used reserve currency, accounting for around 20 percent of global foreign exchange reserves. The </w:t>
      </w:r>
      <w:proofErr w:type="spellStart"/>
      <w:r w:rsidRPr="00902067">
        <w:rPr>
          <w:rFonts w:ascii="Times New Roman" w:eastAsia="Times New Roman" w:hAnsi="Times New Roman" w:cs="Times New Roman"/>
          <w:szCs w:val="24"/>
        </w:rPr>
        <w:t>eurozone</w:t>
      </w:r>
      <w:proofErr w:type="spellEnd"/>
      <w:r w:rsidRPr="00902067">
        <w:rPr>
          <w:rFonts w:ascii="Times New Roman" w:eastAsia="Times New Roman" w:hAnsi="Times New Roman" w:cs="Times New Roman"/>
          <w:szCs w:val="24"/>
        </w:rPr>
        <w:t xml:space="preserve"> benefits from a huge integrated market, strong financial institutions, and a competitive economic bloc. However, various obstacles hamper its ascent to the summit. The absence of a unified treasury and a consolidated European bond market severely limits the euro’s ability to function as a truly autonomous monetary instrument on par with the dollar. Without these characteristics, the euro will be unable to fully capitalize on the dollar’s network effects, which remain entrenched in international trade and banking.</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China’s </w:t>
      </w:r>
      <w:proofErr w:type="spellStart"/>
      <w:r w:rsidRPr="00902067">
        <w:rPr>
          <w:rFonts w:ascii="Times New Roman" w:eastAsia="Times New Roman" w:hAnsi="Times New Roman" w:cs="Times New Roman"/>
          <w:szCs w:val="24"/>
        </w:rPr>
        <w:t>renminbi</w:t>
      </w:r>
      <w:proofErr w:type="spellEnd"/>
      <w:r w:rsidRPr="00902067">
        <w:rPr>
          <w:rFonts w:ascii="Times New Roman" w:eastAsia="Times New Roman" w:hAnsi="Times New Roman" w:cs="Times New Roman"/>
          <w:szCs w:val="24"/>
        </w:rPr>
        <w:t xml:space="preserve">, or </w:t>
      </w:r>
      <w:proofErr w:type="spellStart"/>
      <w:r w:rsidRPr="00902067">
        <w:rPr>
          <w:rFonts w:ascii="Times New Roman" w:eastAsia="Times New Roman" w:hAnsi="Times New Roman" w:cs="Times New Roman"/>
          <w:szCs w:val="24"/>
        </w:rPr>
        <w:t>yuan</w:t>
      </w:r>
      <w:proofErr w:type="spellEnd"/>
      <w:r w:rsidRPr="00902067">
        <w:rPr>
          <w:rFonts w:ascii="Times New Roman" w:eastAsia="Times New Roman" w:hAnsi="Times New Roman" w:cs="Times New Roman"/>
          <w:szCs w:val="24"/>
        </w:rPr>
        <w:t xml:space="preserve">, has emerged as a key participant in the effort to diversify away from the dollar. Over the last decade, China has vigorously marketed its currency in bilateral trade agreements, and its inclusion in the IMF’s basket of Special Drawing Rights represents a significant step forward in its internationalization ambitions. However, the </w:t>
      </w:r>
      <w:proofErr w:type="spellStart"/>
      <w:r w:rsidRPr="00902067">
        <w:rPr>
          <w:rFonts w:ascii="Times New Roman" w:eastAsia="Times New Roman" w:hAnsi="Times New Roman" w:cs="Times New Roman"/>
          <w:szCs w:val="24"/>
        </w:rPr>
        <w:t>renminbi</w:t>
      </w:r>
      <w:proofErr w:type="spellEnd"/>
      <w:r w:rsidRPr="00902067">
        <w:rPr>
          <w:rFonts w:ascii="Times New Roman" w:eastAsia="Times New Roman" w:hAnsi="Times New Roman" w:cs="Times New Roman"/>
          <w:szCs w:val="24"/>
        </w:rPr>
        <w:t xml:space="preserve"> has structural challenges. Chinese authorities enforce strict capital controls and significant regulatory scrutiny, complicating its acceptance as a widely acknowledged reserve currency. Despite these limitations, technological improvements such as the digital currency (e-CNY) initiative may enable the </w:t>
      </w:r>
      <w:proofErr w:type="spellStart"/>
      <w:r w:rsidRPr="00902067">
        <w:rPr>
          <w:rFonts w:ascii="Times New Roman" w:eastAsia="Times New Roman" w:hAnsi="Times New Roman" w:cs="Times New Roman"/>
          <w:szCs w:val="24"/>
        </w:rPr>
        <w:t>renminbi</w:t>
      </w:r>
      <w:proofErr w:type="spellEnd"/>
      <w:r w:rsidRPr="00902067">
        <w:rPr>
          <w:rFonts w:ascii="Times New Roman" w:eastAsia="Times New Roman" w:hAnsi="Times New Roman" w:cs="Times New Roman"/>
          <w:szCs w:val="24"/>
        </w:rPr>
        <w:t xml:space="preserve"> to grab a larger proportion of global commerce in the future decades.</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The concept of SDRs, an international reserve asset created by the IMF, provides an alternative that is fundamentally free of national bias. SDRs are based on a basket of currencies, including the euro, pound sterling, </w:t>
      </w:r>
      <w:proofErr w:type="spellStart"/>
      <w:r w:rsidRPr="00902067">
        <w:rPr>
          <w:rFonts w:ascii="Times New Roman" w:eastAsia="Times New Roman" w:hAnsi="Times New Roman" w:cs="Times New Roman"/>
          <w:szCs w:val="24"/>
        </w:rPr>
        <w:t>renminbi</w:t>
      </w:r>
      <w:proofErr w:type="spellEnd"/>
      <w:r w:rsidRPr="00902067">
        <w:rPr>
          <w:rFonts w:ascii="Times New Roman" w:eastAsia="Times New Roman" w:hAnsi="Times New Roman" w:cs="Times New Roman"/>
          <w:szCs w:val="24"/>
        </w:rPr>
        <w:t>, US dollar, and Japanese yen, and some economists believe they are more stable than any single national currency. To function as a viable global reserve currency, SDRs must exhibit conventional currency features such as widespread acceptance in private transactions and an active market for SDR-denominated debt. Furthermore, accomplishing these goals necessitates considerable political and institutional reforms in the IMF, which is difficult given the influence of US voting power.</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lastRenderedPageBreak/>
        <w:t xml:space="preserve">The development of </w:t>
      </w:r>
      <w:proofErr w:type="spellStart"/>
      <w:r w:rsidRPr="00902067">
        <w:rPr>
          <w:rFonts w:ascii="Times New Roman" w:eastAsia="Times New Roman" w:hAnsi="Times New Roman" w:cs="Times New Roman"/>
          <w:szCs w:val="24"/>
        </w:rPr>
        <w:t>cryptocurrencies</w:t>
      </w:r>
      <w:proofErr w:type="spellEnd"/>
      <w:r w:rsidRPr="00902067">
        <w:rPr>
          <w:rFonts w:ascii="Times New Roman" w:eastAsia="Times New Roman" w:hAnsi="Times New Roman" w:cs="Times New Roman"/>
          <w:szCs w:val="24"/>
        </w:rPr>
        <w:t xml:space="preserve"> such as </w:t>
      </w:r>
      <w:proofErr w:type="spellStart"/>
      <w:r w:rsidRPr="00902067">
        <w:rPr>
          <w:rFonts w:ascii="Times New Roman" w:eastAsia="Times New Roman" w:hAnsi="Times New Roman" w:cs="Times New Roman"/>
          <w:szCs w:val="24"/>
        </w:rPr>
        <w:t>Bitcoin</w:t>
      </w:r>
      <w:proofErr w:type="spellEnd"/>
      <w:r w:rsidRPr="00902067">
        <w:rPr>
          <w:rFonts w:ascii="Times New Roman" w:eastAsia="Times New Roman" w:hAnsi="Times New Roman" w:cs="Times New Roman"/>
          <w:szCs w:val="24"/>
        </w:rPr>
        <w:t xml:space="preserve"> has added a disruptive element to the global monetary system. Tech enthusiasts anticipate a future in which digital assets replace government-backed fiat currencies, providing decentralized, safe, and transparent alternatives to global trade.</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Despite these appealing characteristics, </w:t>
      </w:r>
      <w:proofErr w:type="spellStart"/>
      <w:r w:rsidRPr="00902067">
        <w:rPr>
          <w:rFonts w:ascii="Times New Roman" w:eastAsia="Times New Roman" w:hAnsi="Times New Roman" w:cs="Times New Roman"/>
          <w:szCs w:val="24"/>
        </w:rPr>
        <w:t>cryptocurrencies</w:t>
      </w:r>
      <w:proofErr w:type="spellEnd"/>
      <w:r w:rsidRPr="00902067">
        <w:rPr>
          <w:rFonts w:ascii="Times New Roman" w:eastAsia="Times New Roman" w:hAnsi="Times New Roman" w:cs="Times New Roman"/>
          <w:szCs w:val="24"/>
        </w:rPr>
        <w:t>’ intrinsic volatility and the regulatory concerns that surround them limit their viability as stable repositories of value or dependable means of payment. It is important to assess the structural barriers to US dollar displacement that support the dollar’s position as the primary global reserve currency.</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One of the most attractive aspects of the US dollar is its widespread network effects. According to careful estimates, more than 70 percent of worldwide commerce transactions take place in dollars. This widespread use feeds a self-reinforcing cycle: because the vast majority of global market </w:t>
      </w:r>
      <w:proofErr w:type="gramStart"/>
      <w:r w:rsidRPr="00902067">
        <w:rPr>
          <w:rFonts w:ascii="Times New Roman" w:eastAsia="Times New Roman" w:hAnsi="Times New Roman" w:cs="Times New Roman"/>
          <w:szCs w:val="24"/>
        </w:rPr>
        <w:t>participants</w:t>
      </w:r>
      <w:proofErr w:type="gramEnd"/>
      <w:r w:rsidRPr="00902067">
        <w:rPr>
          <w:rFonts w:ascii="Times New Roman" w:eastAsia="Times New Roman" w:hAnsi="Times New Roman" w:cs="Times New Roman"/>
          <w:szCs w:val="24"/>
        </w:rPr>
        <w:t xml:space="preserve"> deal in dollars, their desire to hold and utilize the currency remains high, cementing its position as the </w:t>
      </w:r>
      <w:proofErr w:type="spellStart"/>
      <w:r w:rsidRPr="00902067">
        <w:rPr>
          <w:rFonts w:ascii="Times New Roman" w:eastAsia="Times New Roman" w:hAnsi="Times New Roman" w:cs="Times New Roman"/>
          <w:szCs w:val="24"/>
        </w:rPr>
        <w:t>favoured</w:t>
      </w:r>
      <w:proofErr w:type="spellEnd"/>
      <w:r w:rsidRPr="00902067">
        <w:rPr>
          <w:rFonts w:ascii="Times New Roman" w:eastAsia="Times New Roman" w:hAnsi="Times New Roman" w:cs="Times New Roman"/>
          <w:szCs w:val="24"/>
        </w:rPr>
        <w:t xml:space="preserve"> medium of exchange and reserve asset.</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The strength of the US dollar is not just determined by economic measurements; it is also intimately related to America’s military prowess and geopolitical power. Historical analysis demonstrates that fluctuations in global financial leadership typically correlate with changes in military power. The US military’s capacity to project strength abroad </w:t>
      </w:r>
      <w:proofErr w:type="spellStart"/>
      <w:r w:rsidRPr="00902067">
        <w:rPr>
          <w:rFonts w:ascii="Times New Roman" w:eastAsia="Times New Roman" w:hAnsi="Times New Roman" w:cs="Times New Roman"/>
          <w:szCs w:val="24"/>
        </w:rPr>
        <w:t>instils</w:t>
      </w:r>
      <w:proofErr w:type="spellEnd"/>
      <w:r w:rsidRPr="00902067">
        <w:rPr>
          <w:rFonts w:ascii="Times New Roman" w:eastAsia="Times New Roman" w:hAnsi="Times New Roman" w:cs="Times New Roman"/>
          <w:szCs w:val="24"/>
        </w:rPr>
        <w:t xml:space="preserve"> trust and security in international investors. This, in turn, contributes to the dollar’s status as a haven amid crises. During times of geopolitical conflict, investors prefer to rush to US Treasury assets, highlighting the military-financial link that underpins dollar dominance. The expense of US military superiority, especially </w:t>
      </w:r>
      <w:proofErr w:type="spellStart"/>
      <w:r w:rsidRPr="00902067">
        <w:rPr>
          <w:rFonts w:ascii="Times New Roman" w:eastAsia="Times New Roman" w:hAnsi="Times New Roman" w:cs="Times New Roman"/>
          <w:szCs w:val="24"/>
        </w:rPr>
        <w:t>defence</w:t>
      </w:r>
      <w:proofErr w:type="spellEnd"/>
      <w:r w:rsidRPr="00902067">
        <w:rPr>
          <w:rFonts w:ascii="Times New Roman" w:eastAsia="Times New Roman" w:hAnsi="Times New Roman" w:cs="Times New Roman"/>
          <w:szCs w:val="24"/>
        </w:rPr>
        <w:t xml:space="preserve"> spending that significantly outstrips that of other countries combined, thus serves as a fundamental foundation for the currency’s strength.</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The current global financial system, with its intricately linked networks of banks, trading platforms, payment systems, and clearing houses, is largely geared toward the dollar. Transitioning away from this long-standing infrastructure will necessitate not just the development of rival systems but also the removal of significant institutional inertia.</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Domestic policy decisions in the United States, such as fiscal spending and monetary policy, also contribute significantly to the dollar’s dominance. While rising public debt and inflation represent long-term threats, short- to medium-term stability provided by good monetary policies, as well as worldwide demand for US assets, mitigate these challenges.</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The future of global currency arrangements is unlikely to be determined by the dollar’s abrupt collapse, but rather by a gradual, systematic shift toward increased </w:t>
      </w:r>
      <w:proofErr w:type="spellStart"/>
      <w:r w:rsidRPr="00902067">
        <w:rPr>
          <w:rFonts w:ascii="Times New Roman" w:eastAsia="Times New Roman" w:hAnsi="Times New Roman" w:cs="Times New Roman"/>
          <w:szCs w:val="24"/>
        </w:rPr>
        <w:t>multipolarity</w:t>
      </w:r>
      <w:proofErr w:type="spellEnd"/>
      <w:r w:rsidRPr="00902067">
        <w:rPr>
          <w:rFonts w:ascii="Times New Roman" w:eastAsia="Times New Roman" w:hAnsi="Times New Roman" w:cs="Times New Roman"/>
          <w:szCs w:val="24"/>
        </w:rPr>
        <w:t xml:space="preserve"> in currency usage. Experts have presented several conceivable theories.</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lastRenderedPageBreak/>
        <w:t xml:space="preserve">According to this idea, the future international monetary system will have various reserve currencies. The dollar’s hegemony may gradually be shared with the euro, </w:t>
      </w:r>
      <w:proofErr w:type="spellStart"/>
      <w:r w:rsidRPr="00902067">
        <w:rPr>
          <w:rFonts w:ascii="Times New Roman" w:eastAsia="Times New Roman" w:hAnsi="Times New Roman" w:cs="Times New Roman"/>
          <w:szCs w:val="24"/>
        </w:rPr>
        <w:t>renminbi</w:t>
      </w:r>
      <w:proofErr w:type="spellEnd"/>
      <w:r w:rsidRPr="00902067">
        <w:rPr>
          <w:rFonts w:ascii="Times New Roman" w:eastAsia="Times New Roman" w:hAnsi="Times New Roman" w:cs="Times New Roman"/>
          <w:szCs w:val="24"/>
        </w:rPr>
        <w:t xml:space="preserve">, and possibly SDRs and digital currencies. With the rise of regional blocs and the rising integration of emerging nations into the global economy, the idea of a single dominant currency becomes less possible. In this </w:t>
      </w:r>
      <w:proofErr w:type="spellStart"/>
      <w:r w:rsidRPr="00902067">
        <w:rPr>
          <w:rFonts w:ascii="Times New Roman" w:eastAsia="Times New Roman" w:hAnsi="Times New Roman" w:cs="Times New Roman"/>
          <w:szCs w:val="24"/>
        </w:rPr>
        <w:t>multipolar</w:t>
      </w:r>
      <w:proofErr w:type="spellEnd"/>
      <w:r w:rsidRPr="00902067">
        <w:rPr>
          <w:rFonts w:ascii="Times New Roman" w:eastAsia="Times New Roman" w:hAnsi="Times New Roman" w:cs="Times New Roman"/>
          <w:szCs w:val="24"/>
        </w:rPr>
        <w:t xml:space="preserve"> scenario, governments may maintain diverse portfolios of reserve currencies, lowering the systemic risk associated with reliance on a single currency.</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Despite growing pressure to adopt alternative currencies, the US dollar remains extraordinarily robust, owing to decades of network effects and the unique combination of economic might and military prowess. While new challengers such as the euro and </w:t>
      </w:r>
      <w:proofErr w:type="spellStart"/>
      <w:r w:rsidRPr="00902067">
        <w:rPr>
          <w:rFonts w:ascii="Times New Roman" w:eastAsia="Times New Roman" w:hAnsi="Times New Roman" w:cs="Times New Roman"/>
          <w:szCs w:val="24"/>
        </w:rPr>
        <w:t>renminbi</w:t>
      </w:r>
      <w:proofErr w:type="spellEnd"/>
      <w:r w:rsidRPr="00902067">
        <w:rPr>
          <w:rFonts w:ascii="Times New Roman" w:eastAsia="Times New Roman" w:hAnsi="Times New Roman" w:cs="Times New Roman"/>
          <w:szCs w:val="24"/>
        </w:rPr>
        <w:t xml:space="preserve">, as well as the emergence of digital currencies, may eventually undermine the dollar’s supremacy, they confront severe hurdles that have kept any one currency from totally supplanting the dollar. In essence, currency </w:t>
      </w:r>
      <w:proofErr w:type="spellStart"/>
      <w:r w:rsidRPr="00902067">
        <w:rPr>
          <w:rFonts w:ascii="Times New Roman" w:eastAsia="Times New Roman" w:hAnsi="Times New Roman" w:cs="Times New Roman"/>
          <w:szCs w:val="24"/>
        </w:rPr>
        <w:t>multipolarity</w:t>
      </w:r>
      <w:proofErr w:type="spellEnd"/>
      <w:r w:rsidRPr="00902067">
        <w:rPr>
          <w:rFonts w:ascii="Times New Roman" w:eastAsia="Times New Roman" w:hAnsi="Times New Roman" w:cs="Times New Roman"/>
          <w:szCs w:val="24"/>
        </w:rPr>
        <w:t xml:space="preserve"> is on the way, but the shift is expected to be gradual. Policymakers, investors, and international institutions must remain vigilant for these emerging tendencies, carefully adjusting their economic policies and financial systems to navigate a future in which no single currency has unrivalled dominance.</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xml:space="preserve">This article drew on a variety of sources to provide a thorough examination of the adoption of new currencies as well as the ongoing </w:t>
      </w:r>
      <w:proofErr w:type="spellStart"/>
      <w:r w:rsidRPr="00902067">
        <w:rPr>
          <w:rFonts w:ascii="Times New Roman" w:eastAsia="Times New Roman" w:hAnsi="Times New Roman" w:cs="Times New Roman"/>
          <w:szCs w:val="24"/>
        </w:rPr>
        <w:t>geoeconomic</w:t>
      </w:r>
      <w:proofErr w:type="spellEnd"/>
      <w:r w:rsidRPr="00902067">
        <w:rPr>
          <w:rFonts w:ascii="Times New Roman" w:eastAsia="Times New Roman" w:hAnsi="Times New Roman" w:cs="Times New Roman"/>
          <w:szCs w:val="24"/>
        </w:rPr>
        <w:t xml:space="preserve"> movements that influence global reserve currency dynamics.</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szCs w:val="24"/>
        </w:rPr>
        <w:t> </w:t>
      </w:r>
    </w:p>
    <w:p w:rsidR="00902067" w:rsidRPr="00902067" w:rsidRDefault="00902067" w:rsidP="00902067">
      <w:pPr>
        <w:spacing w:before="100" w:beforeAutospacing="1" w:afterAutospacing="1" w:line="240" w:lineRule="auto"/>
        <w:rPr>
          <w:rFonts w:ascii="Times New Roman" w:eastAsia="Times New Roman" w:hAnsi="Times New Roman" w:cs="Times New Roman"/>
          <w:szCs w:val="24"/>
        </w:rPr>
      </w:pPr>
      <w:r w:rsidRPr="00902067">
        <w:rPr>
          <w:rFonts w:ascii="Times New Roman" w:eastAsia="Times New Roman" w:hAnsi="Times New Roman" w:cs="Times New Roman"/>
          <w:i/>
          <w:iCs/>
          <w:szCs w:val="24"/>
        </w:rPr>
        <w:t>The writer is a PhD in IR from QAU and can be reached at atiquesheikh2000@gmail.com.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206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206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2067"/>
    <w:rPr>
      <w:color w:val="0000FF"/>
      <w:u w:val="single"/>
    </w:rPr>
  </w:style>
  <w:style w:type="paragraph" w:customStyle="1" w:styleId="author-links">
    <w:name w:val="author-links"/>
    <w:basedOn w:val="Normal"/>
    <w:rsid w:val="0090206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0206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0206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96750677">
      <w:bodyDiv w:val="1"/>
      <w:marLeft w:val="0"/>
      <w:marRight w:val="0"/>
      <w:marTop w:val="0"/>
      <w:marBottom w:val="0"/>
      <w:divBdr>
        <w:top w:val="none" w:sz="0" w:space="0" w:color="auto"/>
        <w:left w:val="none" w:sz="0" w:space="0" w:color="auto"/>
        <w:bottom w:val="none" w:sz="0" w:space="0" w:color="auto"/>
        <w:right w:val="none" w:sz="0" w:space="0" w:color="auto"/>
      </w:divBdr>
      <w:divsChild>
        <w:div w:id="1861551653">
          <w:marLeft w:val="0"/>
          <w:marRight w:val="0"/>
          <w:marTop w:val="0"/>
          <w:marBottom w:val="0"/>
          <w:divBdr>
            <w:top w:val="none" w:sz="0" w:space="0" w:color="auto"/>
            <w:left w:val="none" w:sz="0" w:space="0" w:color="auto"/>
            <w:bottom w:val="none" w:sz="0" w:space="0" w:color="auto"/>
            <w:right w:val="none" w:sz="0" w:space="0" w:color="auto"/>
          </w:divBdr>
          <w:divsChild>
            <w:div w:id="1454792493">
              <w:marLeft w:val="0"/>
              <w:marRight w:val="0"/>
              <w:marTop w:val="0"/>
              <w:marBottom w:val="0"/>
              <w:divBdr>
                <w:top w:val="none" w:sz="0" w:space="0" w:color="auto"/>
                <w:left w:val="none" w:sz="0" w:space="0" w:color="auto"/>
                <w:bottom w:val="none" w:sz="0" w:space="0" w:color="auto"/>
                <w:right w:val="none" w:sz="0" w:space="0" w:color="auto"/>
              </w:divBdr>
              <w:divsChild>
                <w:div w:id="435906363">
                  <w:marLeft w:val="0"/>
                  <w:marRight w:val="0"/>
                  <w:marTop w:val="0"/>
                  <w:marBottom w:val="0"/>
                  <w:divBdr>
                    <w:top w:val="none" w:sz="0" w:space="0" w:color="auto"/>
                    <w:left w:val="none" w:sz="0" w:space="0" w:color="auto"/>
                    <w:bottom w:val="none" w:sz="0" w:space="0" w:color="auto"/>
                    <w:right w:val="none" w:sz="0" w:space="0" w:color="auto"/>
                  </w:divBdr>
                  <w:divsChild>
                    <w:div w:id="1363088703">
                      <w:marLeft w:val="0"/>
                      <w:marRight w:val="0"/>
                      <w:marTop w:val="0"/>
                      <w:marBottom w:val="0"/>
                      <w:divBdr>
                        <w:top w:val="none" w:sz="0" w:space="0" w:color="auto"/>
                        <w:left w:val="none" w:sz="0" w:space="0" w:color="auto"/>
                        <w:bottom w:val="none" w:sz="0" w:space="0" w:color="auto"/>
                        <w:right w:val="none" w:sz="0" w:space="0" w:color="auto"/>
                      </w:divBdr>
                      <w:divsChild>
                        <w:div w:id="1807972005">
                          <w:marLeft w:val="0"/>
                          <w:marRight w:val="0"/>
                          <w:marTop w:val="0"/>
                          <w:marBottom w:val="0"/>
                          <w:divBdr>
                            <w:top w:val="none" w:sz="0" w:space="0" w:color="auto"/>
                            <w:left w:val="none" w:sz="0" w:space="0" w:color="auto"/>
                            <w:bottom w:val="none" w:sz="0" w:space="0" w:color="auto"/>
                            <w:right w:val="none" w:sz="0" w:space="0" w:color="auto"/>
                          </w:divBdr>
                          <w:divsChild>
                            <w:div w:id="707222534">
                              <w:marLeft w:val="0"/>
                              <w:marRight w:val="0"/>
                              <w:marTop w:val="0"/>
                              <w:marBottom w:val="0"/>
                              <w:divBdr>
                                <w:top w:val="none" w:sz="0" w:space="0" w:color="auto"/>
                                <w:left w:val="none" w:sz="0" w:space="0" w:color="auto"/>
                                <w:bottom w:val="none" w:sz="0" w:space="0" w:color="auto"/>
                                <w:right w:val="none" w:sz="0" w:space="0" w:color="auto"/>
                              </w:divBdr>
                              <w:divsChild>
                                <w:div w:id="1386949055">
                                  <w:marLeft w:val="0"/>
                                  <w:marRight w:val="0"/>
                                  <w:marTop w:val="0"/>
                                  <w:marBottom w:val="0"/>
                                  <w:divBdr>
                                    <w:top w:val="none" w:sz="0" w:space="0" w:color="auto"/>
                                    <w:left w:val="none" w:sz="0" w:space="0" w:color="auto"/>
                                    <w:bottom w:val="none" w:sz="0" w:space="0" w:color="auto"/>
                                    <w:right w:val="none" w:sz="0" w:space="0" w:color="auto"/>
                                  </w:divBdr>
                                  <w:divsChild>
                                    <w:div w:id="255987736">
                                      <w:marLeft w:val="0"/>
                                      <w:marRight w:val="0"/>
                                      <w:marTop w:val="0"/>
                                      <w:marBottom w:val="0"/>
                                      <w:divBdr>
                                        <w:top w:val="none" w:sz="0" w:space="0" w:color="auto"/>
                                        <w:left w:val="none" w:sz="0" w:space="0" w:color="auto"/>
                                        <w:bottom w:val="none" w:sz="0" w:space="0" w:color="auto"/>
                                        <w:right w:val="none" w:sz="0" w:space="0" w:color="auto"/>
                                      </w:divBdr>
                                    </w:div>
                                    <w:div w:id="21356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523512">
          <w:marLeft w:val="0"/>
          <w:marRight w:val="0"/>
          <w:marTop w:val="0"/>
          <w:marBottom w:val="0"/>
          <w:divBdr>
            <w:top w:val="none" w:sz="0" w:space="0" w:color="auto"/>
            <w:left w:val="none" w:sz="0" w:space="0" w:color="auto"/>
            <w:bottom w:val="none" w:sz="0" w:space="0" w:color="auto"/>
            <w:right w:val="none" w:sz="0" w:space="0" w:color="auto"/>
          </w:divBdr>
          <w:divsChild>
            <w:div w:id="272827922">
              <w:marLeft w:val="0"/>
              <w:marRight w:val="0"/>
              <w:marTop w:val="0"/>
              <w:marBottom w:val="0"/>
              <w:divBdr>
                <w:top w:val="none" w:sz="0" w:space="0" w:color="auto"/>
                <w:left w:val="none" w:sz="0" w:space="0" w:color="auto"/>
                <w:bottom w:val="none" w:sz="0" w:space="0" w:color="auto"/>
                <w:right w:val="none" w:sz="0" w:space="0" w:color="auto"/>
              </w:divBdr>
              <w:divsChild>
                <w:div w:id="1511798368">
                  <w:marLeft w:val="0"/>
                  <w:marRight w:val="0"/>
                  <w:marTop w:val="0"/>
                  <w:marBottom w:val="0"/>
                  <w:divBdr>
                    <w:top w:val="none" w:sz="0" w:space="0" w:color="auto"/>
                    <w:left w:val="none" w:sz="0" w:space="0" w:color="auto"/>
                    <w:bottom w:val="none" w:sz="0" w:space="0" w:color="auto"/>
                    <w:right w:val="none" w:sz="0" w:space="0" w:color="auto"/>
                  </w:divBdr>
                  <w:divsChild>
                    <w:div w:id="9288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atique-ur-re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1567</Words>
  <Characters>8938</Characters>
  <Application>Microsoft Office Word</Application>
  <DocSecurity>0</DocSecurity>
  <Lines>74</Lines>
  <Paragraphs>20</Paragraphs>
  <ScaleCrop>false</ScaleCrop>
  <Company>Grizli777</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2025-04-12T03:59:00Z</dcterms:created>
  <dcterms:modified xsi:type="dcterms:W3CDTF">2025-04-12T04:01:00Z</dcterms:modified>
</cp:coreProperties>
</file>