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1D" w:rsidRPr="00AB101D" w:rsidRDefault="00AB101D" w:rsidP="00AB101D">
      <w:pPr>
        <w:rPr>
          <w:rFonts w:asciiTheme="majorBidi" w:hAnsiTheme="majorBidi" w:cstheme="majorBidi"/>
          <w:b/>
          <w:bCs/>
          <w:sz w:val="36"/>
          <w:szCs w:val="36"/>
        </w:rPr>
      </w:pPr>
      <w:r w:rsidRPr="00AB101D">
        <w:rPr>
          <w:rFonts w:asciiTheme="majorBidi" w:hAnsiTheme="majorBidi" w:cstheme="majorBidi"/>
          <w:b/>
          <w:bCs/>
          <w:sz w:val="36"/>
          <w:szCs w:val="36"/>
        </w:rPr>
        <w:t>Struggles for Girls’ Education</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About five out of ten adult women in Pakistan still cannot read and write a simple sentence.</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Dr. Tariq Rahim </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 December 13, 2025</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Some issues in Pakistan drift endlessly through seminars, panels, policy papers, and official commitments. Girls’ education is one of them. We debate it, quote it, lament it, but the gap between our words and meaningful action remains wide.</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Perhaps the best measure of this disconnect is time itself. Let us rewind 49 years to 1976, the earliest year for which the World Bank provides global literacy data. Back then, adult female literacy worldwide stood at around 57 per cent. Half a century later, the world has surged ahead. Pakistan, of course, has improved since 1976, but the progress has been slow. We have moved, yes. But we have not moved fast enough.</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 xml:space="preserve">Now for perspective, flip the calendar back to independence. When Pakistan came into being, the entire province of the then-NWFP (now KP) had exactly zero colleges for women. </w:t>
      </w:r>
      <w:proofErr w:type="gramStart"/>
      <w:r w:rsidRPr="00AB101D">
        <w:rPr>
          <w:rFonts w:asciiTheme="majorBidi" w:hAnsiTheme="majorBidi" w:cstheme="majorBidi"/>
          <w:sz w:val="24"/>
          <w:szCs w:val="24"/>
        </w:rPr>
        <w:t>None.</w:t>
      </w:r>
      <w:proofErr w:type="gramEnd"/>
      <w:r w:rsidRPr="00AB101D">
        <w:rPr>
          <w:rFonts w:asciiTheme="majorBidi" w:hAnsiTheme="majorBidi" w:cstheme="majorBidi"/>
          <w:sz w:val="24"/>
          <w:szCs w:val="24"/>
        </w:rPr>
        <w:t xml:space="preserve"> Today, KP has around 130 female degree colleges. That is indeed progress. And yet it is also a reminder: the baseline was so low that even this “success” reads as painfully modest. One hundred and thirty colleges sound like a lot until you remember they are meant to serve millions.</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The national picture tells a similar story. About five out of ten adult women in Pakistan still cannot read and write a simple sentence that describes their everyday life, using the World Bank’s own definition of literacy. That is not a statistic from the 1970s. It is our reality now. It means that in millions of households, girls are still being held back from the most basic human right: the ability to understand the world through words.</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This resistance is rarely expressed openly. You will be hard-pressed to find a parent who says, “I do not believe in girls’ education.” The rhetoric is always supportive. The reality is in the small choices: the daughter pulled out of school to take care of younger siblings; the teenager told to stay home because the school is too far; the young woman discouraged from college because marriage is “around the corner.” These decisions are not framed as opposition to education; they are packaged as pragmatism, protection, or cultural norms. But the outcome is the same: lost potential, repeated across millions of lives.</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Why does this cycle persist? Because families run a painfully narrow calculation, one that barely counts the long term. If the daughter is not expected to work, why spend on her education? Tuition, travel, books, uniforms — all these feel like pointless expenses for a future they believe has already been predetermined: marriage, motherhood, and domestic responsibilities.</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lastRenderedPageBreak/>
        <w:t>But here is the inconvenient truth, the one decades of research and countless lived experiences confirm: educating a girl is not a personal investment. It is a societal transformation. The benefits do not end with her. They multiply across generations. An educated woman insists her children go to school, especially her daughters. She makes better health decisions. She participates more confidently in economic life. She challenges harmful traditions. She dreams differently and teaches her children to do the same.</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This is why global development experts call female education the world’s closest thing to a silver bullet. No policy delivers as broad, sustained, and generational an impact with as much consistency. And yet we treat it like an optional add-on, a nice idea to be pursued when circumstances allow.</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Let us be clear: circumstances will never “allow” it. Progress in female education will not arrive on its own. It must be pursued through political will, community acceptance, and public investment. It requires schools within safe reach of every girl. It requires qualified teachers, functioning classrooms, and curricula. It requires transportation options. It requires legal protections against early marriage. It requires dismantling the quiet, everyday discouragement that keeps girls at home. Above all, it requires the state to treat female education as non-negotiable.</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Girls’ education is not a seminar topic. Not an NGO slogan. Not a donor-funded project. It is the quiet engine deciding whether a country rises or remains trapped in cycles of poverty, dependency, and crisis.</w:t>
      </w:r>
    </w:p>
    <w:p w:rsidR="00AB101D" w:rsidRPr="00AB101D" w:rsidRDefault="00AB101D" w:rsidP="00AB101D">
      <w:pPr>
        <w:rPr>
          <w:rFonts w:asciiTheme="majorBidi" w:hAnsiTheme="majorBidi" w:cstheme="majorBidi"/>
          <w:sz w:val="24"/>
          <w:szCs w:val="24"/>
        </w:rPr>
      </w:pPr>
      <w:r w:rsidRPr="00AB101D">
        <w:rPr>
          <w:rFonts w:asciiTheme="majorBidi" w:hAnsiTheme="majorBidi" w:cstheme="majorBidi"/>
          <w:sz w:val="24"/>
          <w:szCs w:val="24"/>
        </w:rPr>
        <w:t>Dr. Tariq Rahim</w:t>
      </w:r>
      <w:r w:rsidRPr="00AB101D">
        <w:rPr>
          <w:rFonts w:asciiTheme="majorBidi" w:hAnsiTheme="majorBidi" w:cstheme="majorBidi"/>
          <w:sz w:val="24"/>
          <w:szCs w:val="24"/>
        </w:rPr>
        <w:br/>
        <w:t>The writer is an Assistant Professor of the School of Governance and Society at the University of Management and Technology.</w:t>
      </w:r>
    </w:p>
    <w:p w:rsidR="003578D8" w:rsidRPr="00AB101D" w:rsidRDefault="003578D8" w:rsidP="00AB101D">
      <w:pPr>
        <w:rPr>
          <w:rFonts w:asciiTheme="majorBidi" w:hAnsiTheme="majorBidi" w:cstheme="majorBidi"/>
          <w:sz w:val="24"/>
          <w:szCs w:val="24"/>
        </w:rPr>
      </w:pPr>
    </w:p>
    <w:sectPr w:rsidR="003578D8" w:rsidRPr="00AB101D" w:rsidSect="003578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01D"/>
    <w:rsid w:val="003578D8"/>
    <w:rsid w:val="00AB10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D8"/>
  </w:style>
  <w:style w:type="paragraph" w:styleId="Heading1">
    <w:name w:val="heading 1"/>
    <w:basedOn w:val="Normal"/>
    <w:link w:val="Heading1Char"/>
    <w:uiPriority w:val="9"/>
    <w:qFormat/>
    <w:rsid w:val="00AB10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10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101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B101D"/>
    <w:rPr>
      <w:color w:val="0000FF"/>
      <w:u w:val="single"/>
    </w:rPr>
  </w:style>
  <w:style w:type="paragraph" w:styleId="NormalWeb">
    <w:name w:val="Normal (Web)"/>
    <w:basedOn w:val="Normal"/>
    <w:uiPriority w:val="99"/>
    <w:semiHidden/>
    <w:unhideWhenUsed/>
    <w:rsid w:val="00AB1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01D"/>
    <w:rPr>
      <w:b/>
      <w:bCs/>
    </w:rPr>
  </w:style>
</w:styles>
</file>

<file path=word/webSettings.xml><?xml version="1.0" encoding="utf-8"?>
<w:webSettings xmlns:r="http://schemas.openxmlformats.org/officeDocument/2006/relationships" xmlns:w="http://schemas.openxmlformats.org/wordprocessingml/2006/main">
  <w:divs>
    <w:div w:id="497960292">
      <w:bodyDiv w:val="1"/>
      <w:marLeft w:val="0"/>
      <w:marRight w:val="0"/>
      <w:marTop w:val="0"/>
      <w:marBottom w:val="0"/>
      <w:divBdr>
        <w:top w:val="none" w:sz="0" w:space="0" w:color="auto"/>
        <w:left w:val="none" w:sz="0" w:space="0" w:color="auto"/>
        <w:bottom w:val="none" w:sz="0" w:space="0" w:color="auto"/>
        <w:right w:val="none" w:sz="0" w:space="0" w:color="auto"/>
      </w:divBdr>
      <w:divsChild>
        <w:div w:id="1434785607">
          <w:marLeft w:val="0"/>
          <w:marRight w:val="0"/>
          <w:marTop w:val="300"/>
          <w:marBottom w:val="300"/>
          <w:divBdr>
            <w:top w:val="none" w:sz="0" w:space="0" w:color="auto"/>
            <w:left w:val="none" w:sz="0" w:space="0" w:color="auto"/>
            <w:bottom w:val="none" w:sz="0" w:space="0" w:color="auto"/>
            <w:right w:val="none" w:sz="0" w:space="0" w:color="auto"/>
          </w:divBdr>
          <w:divsChild>
            <w:div w:id="117340501">
              <w:marLeft w:val="0"/>
              <w:marRight w:val="0"/>
              <w:marTop w:val="0"/>
              <w:marBottom w:val="0"/>
              <w:divBdr>
                <w:top w:val="none" w:sz="0" w:space="0" w:color="auto"/>
                <w:left w:val="none" w:sz="0" w:space="0" w:color="auto"/>
                <w:bottom w:val="none" w:sz="0" w:space="0" w:color="auto"/>
                <w:right w:val="none" w:sz="0" w:space="0" w:color="auto"/>
              </w:divBdr>
            </w:div>
          </w:divsChild>
        </w:div>
        <w:div w:id="177237609">
          <w:marLeft w:val="0"/>
          <w:marRight w:val="0"/>
          <w:marTop w:val="300"/>
          <w:marBottom w:val="300"/>
          <w:divBdr>
            <w:top w:val="none" w:sz="0" w:space="0" w:color="auto"/>
            <w:left w:val="none" w:sz="0" w:space="0" w:color="auto"/>
            <w:bottom w:val="none" w:sz="0" w:space="0" w:color="auto"/>
            <w:right w:val="none" w:sz="0" w:space="0" w:color="auto"/>
          </w:divBdr>
          <w:divsChild>
            <w:div w:id="114175900">
              <w:marLeft w:val="0"/>
              <w:marRight w:val="0"/>
              <w:marTop w:val="0"/>
              <w:marBottom w:val="0"/>
              <w:divBdr>
                <w:top w:val="none" w:sz="0" w:space="0" w:color="auto"/>
                <w:left w:val="none" w:sz="0" w:space="0" w:color="auto"/>
                <w:bottom w:val="none" w:sz="0" w:space="0" w:color="auto"/>
                <w:right w:val="none" w:sz="0" w:space="0" w:color="auto"/>
              </w:divBdr>
            </w:div>
          </w:divsChild>
        </w:div>
        <w:div w:id="1046880753">
          <w:marLeft w:val="0"/>
          <w:marRight w:val="0"/>
          <w:marTop w:val="300"/>
          <w:marBottom w:val="300"/>
          <w:divBdr>
            <w:top w:val="none" w:sz="0" w:space="0" w:color="auto"/>
            <w:left w:val="none" w:sz="0" w:space="0" w:color="auto"/>
            <w:bottom w:val="none" w:sz="0" w:space="0" w:color="auto"/>
            <w:right w:val="none" w:sz="0" w:space="0" w:color="auto"/>
          </w:divBdr>
          <w:divsChild>
            <w:div w:id="1530608195">
              <w:marLeft w:val="0"/>
              <w:marRight w:val="0"/>
              <w:marTop w:val="0"/>
              <w:marBottom w:val="0"/>
              <w:divBdr>
                <w:top w:val="none" w:sz="0" w:space="0" w:color="auto"/>
                <w:left w:val="none" w:sz="0" w:space="0" w:color="auto"/>
                <w:bottom w:val="none" w:sz="0" w:space="0" w:color="auto"/>
                <w:right w:val="none" w:sz="0" w:space="0" w:color="auto"/>
              </w:divBdr>
            </w:div>
          </w:divsChild>
        </w:div>
        <w:div w:id="537859721">
          <w:marLeft w:val="0"/>
          <w:marRight w:val="0"/>
          <w:marTop w:val="300"/>
          <w:marBottom w:val="300"/>
          <w:divBdr>
            <w:top w:val="none" w:sz="0" w:space="0" w:color="auto"/>
            <w:left w:val="none" w:sz="0" w:space="0" w:color="auto"/>
            <w:bottom w:val="none" w:sz="0" w:space="0" w:color="auto"/>
            <w:right w:val="none" w:sz="0" w:space="0" w:color="auto"/>
          </w:divBdr>
          <w:divsChild>
            <w:div w:id="764229069">
              <w:marLeft w:val="0"/>
              <w:marRight w:val="0"/>
              <w:marTop w:val="0"/>
              <w:marBottom w:val="0"/>
              <w:divBdr>
                <w:top w:val="none" w:sz="0" w:space="0" w:color="auto"/>
                <w:left w:val="none" w:sz="0" w:space="0" w:color="auto"/>
                <w:bottom w:val="none" w:sz="0" w:space="0" w:color="auto"/>
                <w:right w:val="none" w:sz="0" w:space="0" w:color="auto"/>
              </w:divBdr>
            </w:div>
          </w:divsChild>
        </w:div>
        <w:div w:id="1682467161">
          <w:marLeft w:val="0"/>
          <w:marRight w:val="0"/>
          <w:marTop w:val="300"/>
          <w:marBottom w:val="300"/>
          <w:divBdr>
            <w:top w:val="none" w:sz="0" w:space="0" w:color="auto"/>
            <w:left w:val="none" w:sz="0" w:space="0" w:color="auto"/>
            <w:bottom w:val="none" w:sz="0" w:space="0" w:color="auto"/>
            <w:right w:val="none" w:sz="0" w:space="0" w:color="auto"/>
          </w:divBdr>
          <w:divsChild>
            <w:div w:id="6229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4935">
      <w:bodyDiv w:val="1"/>
      <w:marLeft w:val="0"/>
      <w:marRight w:val="0"/>
      <w:marTop w:val="0"/>
      <w:marBottom w:val="0"/>
      <w:divBdr>
        <w:top w:val="none" w:sz="0" w:space="0" w:color="auto"/>
        <w:left w:val="none" w:sz="0" w:space="0" w:color="auto"/>
        <w:bottom w:val="none" w:sz="0" w:space="0" w:color="auto"/>
        <w:right w:val="none" w:sz="0" w:space="0" w:color="auto"/>
      </w:divBdr>
      <w:divsChild>
        <w:div w:id="1836916604">
          <w:marLeft w:val="0"/>
          <w:marRight w:val="0"/>
          <w:marTop w:val="0"/>
          <w:marBottom w:val="450"/>
          <w:divBdr>
            <w:top w:val="none" w:sz="0" w:space="0" w:color="auto"/>
            <w:left w:val="none" w:sz="0" w:space="0" w:color="auto"/>
            <w:bottom w:val="none" w:sz="0" w:space="0" w:color="auto"/>
            <w:right w:val="none" w:sz="0" w:space="0" w:color="auto"/>
          </w:divBdr>
        </w:div>
        <w:div w:id="1329748073">
          <w:marLeft w:val="0"/>
          <w:marRight w:val="0"/>
          <w:marTop w:val="0"/>
          <w:marBottom w:val="450"/>
          <w:divBdr>
            <w:top w:val="none" w:sz="0" w:space="0" w:color="auto"/>
            <w:left w:val="none" w:sz="0" w:space="0" w:color="auto"/>
            <w:bottom w:val="none" w:sz="0" w:space="0" w:color="auto"/>
            <w:right w:val="none" w:sz="0" w:space="0" w:color="auto"/>
          </w:divBdr>
          <w:divsChild>
            <w:div w:id="1348600244">
              <w:marLeft w:val="0"/>
              <w:marRight w:val="0"/>
              <w:marTop w:val="300"/>
              <w:marBottom w:val="0"/>
              <w:divBdr>
                <w:top w:val="none" w:sz="0" w:space="0" w:color="auto"/>
                <w:left w:val="none" w:sz="0" w:space="0" w:color="auto"/>
                <w:bottom w:val="none" w:sz="0" w:space="0" w:color="auto"/>
                <w:right w:val="none" w:sz="0" w:space="0" w:color="auto"/>
              </w:divBdr>
              <w:divsChild>
                <w:div w:id="1940215326">
                  <w:marLeft w:val="0"/>
                  <w:marRight w:val="0"/>
                  <w:marTop w:val="0"/>
                  <w:marBottom w:val="225"/>
                  <w:divBdr>
                    <w:top w:val="none" w:sz="0" w:space="0" w:color="auto"/>
                    <w:left w:val="none" w:sz="0" w:space="0" w:color="auto"/>
                    <w:bottom w:val="none" w:sz="0" w:space="0" w:color="auto"/>
                    <w:right w:val="none" w:sz="0" w:space="0" w:color="auto"/>
                  </w:divBdr>
                  <w:divsChild>
                    <w:div w:id="148256882">
                      <w:marLeft w:val="0"/>
                      <w:marRight w:val="0"/>
                      <w:marTop w:val="0"/>
                      <w:marBottom w:val="0"/>
                      <w:divBdr>
                        <w:top w:val="none" w:sz="0" w:space="0" w:color="auto"/>
                        <w:left w:val="none" w:sz="0" w:space="0" w:color="auto"/>
                        <w:bottom w:val="none" w:sz="0" w:space="0" w:color="auto"/>
                        <w:right w:val="none" w:sz="0" w:space="0" w:color="auto"/>
                      </w:divBdr>
                      <w:divsChild>
                        <w:div w:id="1788700310">
                          <w:marLeft w:val="0"/>
                          <w:marRight w:val="90"/>
                          <w:marTop w:val="0"/>
                          <w:marBottom w:val="0"/>
                          <w:divBdr>
                            <w:top w:val="none" w:sz="0" w:space="0" w:color="auto"/>
                            <w:left w:val="none" w:sz="0" w:space="0" w:color="auto"/>
                            <w:bottom w:val="none" w:sz="0" w:space="0" w:color="auto"/>
                            <w:right w:val="none" w:sz="0" w:space="0" w:color="auto"/>
                          </w:divBdr>
                        </w:div>
                        <w:div w:id="9069611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3802</Characters>
  <Application>Microsoft Office Word</Application>
  <DocSecurity>0</DocSecurity>
  <Lines>31</Lines>
  <Paragraphs>8</Paragraphs>
  <ScaleCrop>false</ScaleCrop>
  <Company>Grizli777</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2025-12-13T05:26:00Z</dcterms:created>
  <dcterms:modified xsi:type="dcterms:W3CDTF">2025-12-13T05:30:00Z</dcterms:modified>
</cp:coreProperties>
</file>