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00" w:rsidRPr="00736400" w:rsidRDefault="00736400" w:rsidP="00736400">
      <w:pPr>
        <w:rPr>
          <w:rFonts w:asciiTheme="majorBidi" w:hAnsiTheme="majorBidi" w:cstheme="majorBidi"/>
          <w:b/>
          <w:bCs/>
          <w:sz w:val="36"/>
          <w:szCs w:val="36"/>
        </w:rPr>
      </w:pPr>
      <w:r w:rsidRPr="00736400">
        <w:rPr>
          <w:rFonts w:asciiTheme="majorBidi" w:hAnsiTheme="majorBidi" w:cstheme="majorBidi"/>
          <w:b/>
          <w:bCs/>
          <w:sz w:val="36"/>
          <w:szCs w:val="36"/>
        </w:rPr>
        <w:t>Water Policy: A Seven-Year Itch</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The political consensus that birthed the NWP still exists on paper. The tragedy would be if we </w:t>
      </w:r>
      <w:proofErr w:type="spellStart"/>
      <w:r w:rsidRPr="00736400">
        <w:rPr>
          <w:rFonts w:asciiTheme="majorBidi" w:hAnsiTheme="majorBidi" w:cstheme="majorBidi"/>
          <w:sz w:val="24"/>
          <w:szCs w:val="24"/>
        </w:rPr>
        <w:t>recognised</w:t>
      </w:r>
      <w:proofErr w:type="spellEnd"/>
      <w:r w:rsidRPr="00736400">
        <w:rPr>
          <w:rFonts w:asciiTheme="majorBidi" w:hAnsiTheme="majorBidi" w:cstheme="majorBidi"/>
          <w:sz w:val="24"/>
          <w:szCs w:val="24"/>
        </w:rPr>
        <w:t xml:space="preserve"> its wisdom only after the well ran dry.</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Mohsin </w:t>
      </w:r>
      <w:proofErr w:type="spellStart"/>
      <w:r w:rsidRPr="00736400">
        <w:rPr>
          <w:rFonts w:asciiTheme="majorBidi" w:hAnsiTheme="majorBidi" w:cstheme="majorBidi"/>
          <w:sz w:val="24"/>
          <w:szCs w:val="24"/>
        </w:rPr>
        <w:t>Leghari</w:t>
      </w:r>
      <w:proofErr w:type="spellEnd"/>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December 17, 2025</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When Pakistan’s National Water Policy (NWP) was approved by the Council of Common Interests on April 24, 2018, it was sold as a watershed moment: a single national framework, signed off by the prime minister and all four chief ministers, meant to bring order to the Indus Basin. More storage, less waste, better data, realistic pricing, and </w:t>
      </w:r>
      <w:proofErr w:type="gramStart"/>
      <w:r w:rsidRPr="00736400">
        <w:rPr>
          <w:rFonts w:asciiTheme="majorBidi" w:hAnsiTheme="majorBidi" w:cstheme="majorBidi"/>
          <w:sz w:val="24"/>
          <w:szCs w:val="24"/>
        </w:rPr>
        <w:t>a federal</w:t>
      </w:r>
      <w:proofErr w:type="gramEnd"/>
      <w:r w:rsidRPr="00736400">
        <w:rPr>
          <w:rFonts w:asciiTheme="majorBidi" w:hAnsiTheme="majorBidi" w:cstheme="majorBidi"/>
          <w:sz w:val="24"/>
          <w:szCs w:val="24"/>
        </w:rPr>
        <w:t>–provincial architecture strong enough to hold it all together.</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Seven years on, as we enter the final stretch of its 2030 horizon, the test is simple: did Pakistan’s first-ever National Water Policy change how the state behaves, or did it just give us better language to describe the same drift?</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The policy’s own diagnosis was unusually blunt and still reads like a warning label. The Indus system receives roughly 135–140 million acre-feet (MAF) in an average year; about 104 MAF is diverted into canals, but only about an estimated 60 MAF reaches the farm gate. The missing, nearly half bleeds away inside the system through seepage, spills, illegal outlets, and sheer mismanagement. It also recorded that Pakistan stores only about 14 MAF, roughly 10% of annual flows leaving the country exposed to the swing between drought and deluge.</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So the NWP did not pretend this was a minor tuning problem. It promised big things by specific deadlines: real-time telemetry for the Indus Basin “before the end of 2021,” a National Water Council (NWC) chaired by the prime minister to meet annually and keep the programme on track, and investment levels rising toward 20% of development spending by 2030, backed by an investment envelope of roughly Rs 3,066 billion by 2030.</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There was early motion, especially after the 2022 floods, when water moved briefly from technocratic talk to political urgency. But then the old pattern returned, stop-start attention, stop-start financing, and the quiet relocation of “water reform” back into the long grass of bureaucratic drift.</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The budget numbers tell the story without rhetoric. In the 2025–26 PSDP, federal allocation for </w:t>
      </w:r>
      <w:proofErr w:type="spellStart"/>
      <w:r w:rsidRPr="00736400">
        <w:rPr>
          <w:rFonts w:asciiTheme="majorBidi" w:hAnsiTheme="majorBidi" w:cstheme="majorBidi"/>
          <w:sz w:val="24"/>
          <w:szCs w:val="24"/>
        </w:rPr>
        <w:t>hydel</w:t>
      </w:r>
      <w:proofErr w:type="spellEnd"/>
      <w:r w:rsidRPr="00736400">
        <w:rPr>
          <w:rFonts w:asciiTheme="majorBidi" w:hAnsiTheme="majorBidi" w:cstheme="majorBidi"/>
          <w:sz w:val="24"/>
          <w:szCs w:val="24"/>
        </w:rPr>
        <w:t xml:space="preserve"> and water projects is around Rs 133–147 billion, down from the roughly Rs 184.6 billion that was originally approved for 2024–25. Meanwhile, the unfinished cost of ongoing water schemes stands at approximately Rs 1.27 trillion. In plain language: this year’s allocation covers only a fraction of what is already in the pipeline. This is how megaprojects get trapped in an endless “under-construction” status. Too big to abandon, too fund starved to finish.</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lastRenderedPageBreak/>
        <w:t>On data and trust, the scorecard is even more consequential. The NWP’s telemetry promise was not cosmetic; it was meant to end decades of inter-provincial argument conducted through contested manual measurements, spreadsheets, and suspicion. The end-2021 deadline was missed, and the earlier 2004 telemetry system (23 sites) collapsed amid technical failure and dispute, eventually scrapped as a “white elephant.” A new 27-site system was finally approved in February 2024 at a cost of Rs 23.8 billion; the contract was awarded in August 2024; commissioning is now expected around December 2026–27, five years past the policy deadline. Until trusted real-time data flows publicly and provincially, every argument about “who got how much” will remain structurally impossible to settle.</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The governance architecture designed to prevent this drift has also underperformed. The National Water Council was envisioned as the annual strategic forum where the federation and provinces review progress and enforce coordination. Instead, it has convened only once, it met in October 2018. Big decisions still route scheme-by-scheme through ECNEC and CDWP rather than through a unified, accountable water governance forum. The NWC exists in law, but not in practice.</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And then there is the reform area every policy correctly identifies, and every government postpones: pricing, incentives, and groundwater. Seven years later, canal water rates (</w:t>
      </w:r>
      <w:proofErr w:type="spellStart"/>
      <w:r w:rsidRPr="00736400">
        <w:rPr>
          <w:rFonts w:asciiTheme="majorBidi" w:hAnsiTheme="majorBidi" w:cstheme="majorBidi"/>
          <w:sz w:val="24"/>
          <w:szCs w:val="24"/>
        </w:rPr>
        <w:t>abiana</w:t>
      </w:r>
      <w:proofErr w:type="spellEnd"/>
      <w:r w:rsidRPr="00736400">
        <w:rPr>
          <w:rFonts w:asciiTheme="majorBidi" w:hAnsiTheme="majorBidi" w:cstheme="majorBidi"/>
          <w:sz w:val="24"/>
          <w:szCs w:val="24"/>
        </w:rPr>
        <w:t xml:space="preserve">) remain negligible in real terms and recover only a fraction of operation and maintenance costs. Tube-wells continue to run on subsidized electricity tariffs and now the encouragement to </w:t>
      </w:r>
      <w:proofErr w:type="spellStart"/>
      <w:r w:rsidRPr="00736400">
        <w:rPr>
          <w:rFonts w:asciiTheme="majorBidi" w:hAnsiTheme="majorBidi" w:cstheme="majorBidi"/>
          <w:sz w:val="24"/>
          <w:szCs w:val="24"/>
        </w:rPr>
        <w:t>solarization</w:t>
      </w:r>
      <w:proofErr w:type="spellEnd"/>
      <w:r w:rsidRPr="00736400">
        <w:rPr>
          <w:rFonts w:asciiTheme="majorBidi" w:hAnsiTheme="majorBidi" w:cstheme="majorBidi"/>
          <w:sz w:val="24"/>
          <w:szCs w:val="24"/>
        </w:rPr>
        <w:t>, that reward over-pumping in already stressed aquifers. Meanwhile, around 1.4 million agricultural tube-wells extract an estimated 50+ MAF annually, about four times our total storage capacity. Attempts to introduce groundwater regulation at the federal level have stumbled; the 2024 IRSA Amendment Ordinance aimed at regulation was withdrawn after provincial resistance.</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This is why the NWP’s “efficiency” language has not translated into efficiency outcomes. Irrigation efficiency still hovers around the 2018 baseline of roughly 40%, with canal conveyance losses around 40–50%, watercourse losses 25–30%, and field application efficiency around 35% under flood irrigation. Promising pilots exist in Punjab, e-</w:t>
      </w:r>
      <w:proofErr w:type="spellStart"/>
      <w:r w:rsidRPr="00736400">
        <w:rPr>
          <w:rFonts w:asciiTheme="majorBidi" w:hAnsiTheme="majorBidi" w:cstheme="majorBidi"/>
          <w:sz w:val="24"/>
          <w:szCs w:val="24"/>
        </w:rPr>
        <w:t>abiana</w:t>
      </w:r>
      <w:proofErr w:type="spellEnd"/>
      <w:r w:rsidRPr="00736400">
        <w:rPr>
          <w:rFonts w:asciiTheme="majorBidi" w:hAnsiTheme="majorBidi" w:cstheme="majorBidi"/>
          <w:sz w:val="24"/>
          <w:szCs w:val="24"/>
        </w:rPr>
        <w:t>, tube-well registration, drip subsidies, watercourse lining but they have not been scaled to the point where they move the national baseline.</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None of this is happening in a calm external environment. Per capita water availability continues its decline due to rising population and now sits around 900–1,000 cubic </w:t>
      </w:r>
      <w:proofErr w:type="spellStart"/>
      <w:r w:rsidRPr="00736400">
        <w:rPr>
          <w:rFonts w:asciiTheme="majorBidi" w:hAnsiTheme="majorBidi" w:cstheme="majorBidi"/>
          <w:sz w:val="24"/>
          <w:szCs w:val="24"/>
        </w:rPr>
        <w:t>metres</w:t>
      </w:r>
      <w:proofErr w:type="spellEnd"/>
      <w:r w:rsidRPr="00736400">
        <w:rPr>
          <w:rFonts w:asciiTheme="majorBidi" w:hAnsiTheme="majorBidi" w:cstheme="majorBidi"/>
          <w:sz w:val="24"/>
          <w:szCs w:val="24"/>
        </w:rPr>
        <w:t xml:space="preserve"> and falling; climate extremes are sharper; the 2022 and 2025 floods were a national reminder of vulnerability; and India has openly </w:t>
      </w:r>
      <w:proofErr w:type="spellStart"/>
      <w:r w:rsidRPr="00736400">
        <w:rPr>
          <w:rFonts w:asciiTheme="majorBidi" w:hAnsiTheme="majorBidi" w:cstheme="majorBidi"/>
          <w:sz w:val="24"/>
          <w:szCs w:val="24"/>
        </w:rPr>
        <w:t>signalled</w:t>
      </w:r>
      <w:proofErr w:type="spellEnd"/>
      <w:r w:rsidRPr="00736400">
        <w:rPr>
          <w:rFonts w:asciiTheme="majorBidi" w:hAnsiTheme="majorBidi" w:cstheme="majorBidi"/>
          <w:sz w:val="24"/>
          <w:szCs w:val="24"/>
        </w:rPr>
        <w:t xml:space="preserve"> intent to “review” the Indus Waters Treaty—adding external pressure to internal mismanagement.</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The uncomfortable conclusion is that Pakistan is no longer short of policy. The 2018 document correctly identified the crisis: low storage, massive losses, weak data, distorted incentives, </w:t>
      </w:r>
      <w:r w:rsidRPr="00736400">
        <w:rPr>
          <w:rFonts w:asciiTheme="majorBidi" w:hAnsiTheme="majorBidi" w:cstheme="majorBidi"/>
          <w:sz w:val="24"/>
          <w:szCs w:val="24"/>
        </w:rPr>
        <w:lastRenderedPageBreak/>
        <w:t xml:space="preserve">fragmented governance. What </w:t>
      </w:r>
      <w:proofErr w:type="gramStart"/>
      <w:r w:rsidRPr="00736400">
        <w:rPr>
          <w:rFonts w:asciiTheme="majorBidi" w:hAnsiTheme="majorBidi" w:cstheme="majorBidi"/>
          <w:sz w:val="24"/>
          <w:szCs w:val="24"/>
        </w:rPr>
        <w:t>has</w:t>
      </w:r>
      <w:proofErr w:type="gramEnd"/>
      <w:r w:rsidRPr="00736400">
        <w:rPr>
          <w:rFonts w:asciiTheme="majorBidi" w:hAnsiTheme="majorBidi" w:cstheme="majorBidi"/>
          <w:sz w:val="24"/>
          <w:szCs w:val="24"/>
        </w:rPr>
        <w:t xml:space="preserve"> been missing is consistent follow-through—and a political economy willing to treat water as scarce even when it is politically convenient to pretend it is free.</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As the country enters the final five years of the NWP’s 2030 timeline, the task is not to draft a new policy. It is to treat the existing one as a binding programme of work. </w:t>
      </w:r>
      <w:proofErr w:type="gramStart"/>
      <w:r w:rsidRPr="00736400">
        <w:rPr>
          <w:rFonts w:asciiTheme="majorBidi" w:hAnsiTheme="majorBidi" w:cstheme="majorBidi"/>
          <w:sz w:val="24"/>
          <w:szCs w:val="24"/>
        </w:rPr>
        <w:t>Measurable, time-bound, and enforced.</w:t>
      </w:r>
      <w:proofErr w:type="gramEnd"/>
      <w:r w:rsidRPr="00736400">
        <w:rPr>
          <w:rFonts w:asciiTheme="majorBidi" w:hAnsiTheme="majorBidi" w:cstheme="majorBidi"/>
          <w:sz w:val="24"/>
          <w:szCs w:val="24"/>
        </w:rPr>
        <w:t xml:space="preserve"> That means, ring-fencing water allocations from arbitrary annual cuts so the Rs 1.27 trillion pipeline does not rot in permanent incompletion, activating the National Water Council as an annual, public accountability forum rather than an occasional ceremony, finishing telemetry by December 2026–27 as planned and making the data publicly accessible, and beginning phased, fair, but real pricing and groundwater regulation, including the end of subsidized rate tube-well electricity and reconsidering </w:t>
      </w:r>
      <w:proofErr w:type="spellStart"/>
      <w:r w:rsidRPr="00736400">
        <w:rPr>
          <w:rFonts w:asciiTheme="majorBidi" w:hAnsiTheme="majorBidi" w:cstheme="majorBidi"/>
          <w:sz w:val="24"/>
          <w:szCs w:val="24"/>
        </w:rPr>
        <w:t>solrization</w:t>
      </w:r>
      <w:proofErr w:type="spellEnd"/>
      <w:r w:rsidRPr="00736400">
        <w:rPr>
          <w:rFonts w:asciiTheme="majorBidi" w:hAnsiTheme="majorBidi" w:cstheme="majorBidi"/>
          <w:sz w:val="24"/>
          <w:szCs w:val="24"/>
        </w:rPr>
        <w:t xml:space="preserve"> in stressed aquifers.</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The political consensus that birthed the NWP still exists on paper. The tragedy would be if we </w:t>
      </w:r>
      <w:proofErr w:type="spellStart"/>
      <w:r w:rsidRPr="00736400">
        <w:rPr>
          <w:rFonts w:asciiTheme="majorBidi" w:hAnsiTheme="majorBidi" w:cstheme="majorBidi"/>
          <w:sz w:val="24"/>
          <w:szCs w:val="24"/>
        </w:rPr>
        <w:t>recognised</w:t>
      </w:r>
      <w:proofErr w:type="spellEnd"/>
      <w:r w:rsidRPr="00736400">
        <w:rPr>
          <w:rFonts w:asciiTheme="majorBidi" w:hAnsiTheme="majorBidi" w:cstheme="majorBidi"/>
          <w:sz w:val="24"/>
          <w:szCs w:val="24"/>
        </w:rPr>
        <w:t xml:space="preserve"> its wisdom only after the well ran dry.</w:t>
      </w:r>
    </w:p>
    <w:p w:rsidR="00736400" w:rsidRPr="00736400" w:rsidRDefault="00736400" w:rsidP="00736400">
      <w:pPr>
        <w:rPr>
          <w:rFonts w:asciiTheme="majorBidi" w:hAnsiTheme="majorBidi" w:cstheme="majorBidi"/>
          <w:sz w:val="24"/>
          <w:szCs w:val="24"/>
        </w:rPr>
      </w:pPr>
      <w:r w:rsidRPr="00736400">
        <w:rPr>
          <w:rFonts w:asciiTheme="majorBidi" w:hAnsiTheme="majorBidi" w:cstheme="majorBidi"/>
          <w:sz w:val="24"/>
          <w:szCs w:val="24"/>
        </w:rPr>
        <w:t xml:space="preserve">Mohsin </w:t>
      </w:r>
      <w:proofErr w:type="spellStart"/>
      <w:r w:rsidRPr="00736400">
        <w:rPr>
          <w:rFonts w:asciiTheme="majorBidi" w:hAnsiTheme="majorBidi" w:cstheme="majorBidi"/>
          <w:sz w:val="24"/>
          <w:szCs w:val="24"/>
        </w:rPr>
        <w:t>Leghari</w:t>
      </w:r>
      <w:proofErr w:type="spellEnd"/>
      <w:r w:rsidRPr="00736400">
        <w:rPr>
          <w:rFonts w:asciiTheme="majorBidi" w:hAnsiTheme="majorBidi" w:cstheme="majorBidi"/>
          <w:sz w:val="24"/>
          <w:szCs w:val="24"/>
        </w:rPr>
        <w:br/>
        <w:t>The writer is a former Senator, MPA, MNA, and former Minister of Irrigation Punjab.</w:t>
      </w:r>
    </w:p>
    <w:p w:rsidR="00FD7938" w:rsidRPr="00736400" w:rsidRDefault="00FD7938" w:rsidP="00736400">
      <w:pPr>
        <w:rPr>
          <w:rFonts w:asciiTheme="majorBidi" w:hAnsiTheme="majorBidi" w:cstheme="majorBidi"/>
          <w:sz w:val="24"/>
          <w:szCs w:val="24"/>
        </w:rPr>
      </w:pPr>
    </w:p>
    <w:sectPr w:rsidR="00FD7938" w:rsidRPr="00736400" w:rsidSect="00FD79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400"/>
    <w:rsid w:val="00736400"/>
    <w:rsid w:val="00FD79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38"/>
  </w:style>
  <w:style w:type="paragraph" w:styleId="Heading1">
    <w:name w:val="heading 1"/>
    <w:basedOn w:val="Normal"/>
    <w:link w:val="Heading1Char"/>
    <w:uiPriority w:val="9"/>
    <w:qFormat/>
    <w:rsid w:val="007364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64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640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36400"/>
    <w:rPr>
      <w:color w:val="0000FF"/>
      <w:u w:val="single"/>
    </w:rPr>
  </w:style>
  <w:style w:type="paragraph" w:styleId="NormalWeb">
    <w:name w:val="Normal (Web)"/>
    <w:basedOn w:val="Normal"/>
    <w:uiPriority w:val="99"/>
    <w:semiHidden/>
    <w:unhideWhenUsed/>
    <w:rsid w:val="007364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400"/>
    <w:rPr>
      <w:b/>
      <w:bCs/>
    </w:rPr>
  </w:style>
</w:styles>
</file>

<file path=word/webSettings.xml><?xml version="1.0" encoding="utf-8"?>
<w:webSettings xmlns:r="http://schemas.openxmlformats.org/officeDocument/2006/relationships" xmlns:w="http://schemas.openxmlformats.org/wordprocessingml/2006/main">
  <w:divs>
    <w:div w:id="196089718">
      <w:bodyDiv w:val="1"/>
      <w:marLeft w:val="0"/>
      <w:marRight w:val="0"/>
      <w:marTop w:val="0"/>
      <w:marBottom w:val="0"/>
      <w:divBdr>
        <w:top w:val="none" w:sz="0" w:space="0" w:color="auto"/>
        <w:left w:val="none" w:sz="0" w:space="0" w:color="auto"/>
        <w:bottom w:val="none" w:sz="0" w:space="0" w:color="auto"/>
        <w:right w:val="none" w:sz="0" w:space="0" w:color="auto"/>
      </w:divBdr>
      <w:divsChild>
        <w:div w:id="871302005">
          <w:marLeft w:val="0"/>
          <w:marRight w:val="0"/>
          <w:marTop w:val="0"/>
          <w:marBottom w:val="450"/>
          <w:divBdr>
            <w:top w:val="none" w:sz="0" w:space="0" w:color="auto"/>
            <w:left w:val="none" w:sz="0" w:space="0" w:color="auto"/>
            <w:bottom w:val="none" w:sz="0" w:space="0" w:color="auto"/>
            <w:right w:val="none" w:sz="0" w:space="0" w:color="auto"/>
          </w:divBdr>
        </w:div>
        <w:div w:id="1781952574">
          <w:marLeft w:val="0"/>
          <w:marRight w:val="0"/>
          <w:marTop w:val="0"/>
          <w:marBottom w:val="450"/>
          <w:divBdr>
            <w:top w:val="none" w:sz="0" w:space="0" w:color="auto"/>
            <w:left w:val="none" w:sz="0" w:space="0" w:color="auto"/>
            <w:bottom w:val="none" w:sz="0" w:space="0" w:color="auto"/>
            <w:right w:val="none" w:sz="0" w:space="0" w:color="auto"/>
          </w:divBdr>
          <w:divsChild>
            <w:div w:id="1466893378">
              <w:marLeft w:val="0"/>
              <w:marRight w:val="0"/>
              <w:marTop w:val="30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225"/>
                  <w:divBdr>
                    <w:top w:val="none" w:sz="0" w:space="0" w:color="auto"/>
                    <w:left w:val="none" w:sz="0" w:space="0" w:color="auto"/>
                    <w:bottom w:val="none" w:sz="0" w:space="0" w:color="auto"/>
                    <w:right w:val="none" w:sz="0" w:space="0" w:color="auto"/>
                  </w:divBdr>
                  <w:divsChild>
                    <w:div w:id="2013023397">
                      <w:marLeft w:val="0"/>
                      <w:marRight w:val="0"/>
                      <w:marTop w:val="0"/>
                      <w:marBottom w:val="0"/>
                      <w:divBdr>
                        <w:top w:val="none" w:sz="0" w:space="0" w:color="auto"/>
                        <w:left w:val="none" w:sz="0" w:space="0" w:color="auto"/>
                        <w:bottom w:val="none" w:sz="0" w:space="0" w:color="auto"/>
                        <w:right w:val="none" w:sz="0" w:space="0" w:color="auto"/>
                      </w:divBdr>
                      <w:divsChild>
                        <w:div w:id="531192717">
                          <w:marLeft w:val="0"/>
                          <w:marRight w:val="90"/>
                          <w:marTop w:val="0"/>
                          <w:marBottom w:val="0"/>
                          <w:divBdr>
                            <w:top w:val="none" w:sz="0" w:space="0" w:color="auto"/>
                            <w:left w:val="none" w:sz="0" w:space="0" w:color="auto"/>
                            <w:bottom w:val="none" w:sz="0" w:space="0" w:color="auto"/>
                            <w:right w:val="none" w:sz="0" w:space="0" w:color="auto"/>
                          </w:divBdr>
                        </w:div>
                        <w:div w:id="1549994905">
                          <w:marLeft w:val="0"/>
                          <w:marRight w:val="90"/>
                          <w:marTop w:val="0"/>
                          <w:marBottom w:val="0"/>
                          <w:divBdr>
                            <w:top w:val="none" w:sz="0" w:space="0" w:color="auto"/>
                            <w:left w:val="none" w:sz="0" w:space="0" w:color="auto"/>
                            <w:bottom w:val="none" w:sz="0" w:space="0" w:color="auto"/>
                            <w:right w:val="none" w:sz="0" w:space="0" w:color="auto"/>
                          </w:divBdr>
                        </w:div>
                        <w:div w:id="840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85817">
          <w:marLeft w:val="0"/>
          <w:marRight w:val="0"/>
          <w:marTop w:val="0"/>
          <w:marBottom w:val="450"/>
          <w:divBdr>
            <w:top w:val="none" w:sz="0" w:space="0" w:color="auto"/>
            <w:left w:val="none" w:sz="0" w:space="0" w:color="auto"/>
            <w:bottom w:val="none" w:sz="0" w:space="0" w:color="auto"/>
            <w:right w:val="none" w:sz="0" w:space="0" w:color="auto"/>
          </w:divBdr>
          <w:divsChild>
            <w:div w:id="54665337">
              <w:marLeft w:val="0"/>
              <w:marRight w:val="0"/>
              <w:marTop w:val="300"/>
              <w:marBottom w:val="300"/>
              <w:divBdr>
                <w:top w:val="none" w:sz="0" w:space="0" w:color="auto"/>
                <w:left w:val="none" w:sz="0" w:space="0" w:color="auto"/>
                <w:bottom w:val="none" w:sz="0" w:space="0" w:color="auto"/>
                <w:right w:val="none" w:sz="0" w:space="0" w:color="auto"/>
              </w:divBdr>
              <w:divsChild>
                <w:div w:id="364523964">
                  <w:marLeft w:val="0"/>
                  <w:marRight w:val="0"/>
                  <w:marTop w:val="0"/>
                  <w:marBottom w:val="0"/>
                  <w:divBdr>
                    <w:top w:val="none" w:sz="0" w:space="0" w:color="auto"/>
                    <w:left w:val="none" w:sz="0" w:space="0" w:color="auto"/>
                    <w:bottom w:val="none" w:sz="0" w:space="0" w:color="auto"/>
                    <w:right w:val="none" w:sz="0" w:space="0" w:color="auto"/>
                  </w:divBdr>
                </w:div>
              </w:divsChild>
            </w:div>
            <w:div w:id="2017490189">
              <w:marLeft w:val="0"/>
              <w:marRight w:val="0"/>
              <w:marTop w:val="300"/>
              <w:marBottom w:val="300"/>
              <w:divBdr>
                <w:top w:val="none" w:sz="0" w:space="0" w:color="auto"/>
                <w:left w:val="none" w:sz="0" w:space="0" w:color="auto"/>
                <w:bottom w:val="none" w:sz="0" w:space="0" w:color="auto"/>
                <w:right w:val="none" w:sz="0" w:space="0" w:color="auto"/>
              </w:divBdr>
              <w:divsChild>
                <w:div w:id="1397822705">
                  <w:marLeft w:val="0"/>
                  <w:marRight w:val="0"/>
                  <w:marTop w:val="0"/>
                  <w:marBottom w:val="0"/>
                  <w:divBdr>
                    <w:top w:val="none" w:sz="0" w:space="0" w:color="auto"/>
                    <w:left w:val="none" w:sz="0" w:space="0" w:color="auto"/>
                    <w:bottom w:val="none" w:sz="0" w:space="0" w:color="auto"/>
                    <w:right w:val="none" w:sz="0" w:space="0" w:color="auto"/>
                  </w:divBdr>
                </w:div>
              </w:divsChild>
            </w:div>
            <w:div w:id="1339692127">
              <w:marLeft w:val="0"/>
              <w:marRight w:val="0"/>
              <w:marTop w:val="300"/>
              <w:marBottom w:val="300"/>
              <w:divBdr>
                <w:top w:val="none" w:sz="0" w:space="0" w:color="auto"/>
                <w:left w:val="none" w:sz="0" w:space="0" w:color="auto"/>
                <w:bottom w:val="none" w:sz="0" w:space="0" w:color="auto"/>
                <w:right w:val="none" w:sz="0" w:space="0" w:color="auto"/>
              </w:divBdr>
              <w:divsChild>
                <w:div w:id="536284863">
                  <w:marLeft w:val="0"/>
                  <w:marRight w:val="0"/>
                  <w:marTop w:val="0"/>
                  <w:marBottom w:val="0"/>
                  <w:divBdr>
                    <w:top w:val="none" w:sz="0" w:space="0" w:color="auto"/>
                    <w:left w:val="none" w:sz="0" w:space="0" w:color="auto"/>
                    <w:bottom w:val="none" w:sz="0" w:space="0" w:color="auto"/>
                    <w:right w:val="none" w:sz="0" w:space="0" w:color="auto"/>
                  </w:divBdr>
                </w:div>
              </w:divsChild>
            </w:div>
            <w:div w:id="335108606">
              <w:marLeft w:val="0"/>
              <w:marRight w:val="0"/>
              <w:marTop w:val="300"/>
              <w:marBottom w:val="300"/>
              <w:divBdr>
                <w:top w:val="none" w:sz="0" w:space="0" w:color="auto"/>
                <w:left w:val="none" w:sz="0" w:space="0" w:color="auto"/>
                <w:bottom w:val="none" w:sz="0" w:space="0" w:color="auto"/>
                <w:right w:val="none" w:sz="0" w:space="0" w:color="auto"/>
              </w:divBdr>
              <w:divsChild>
                <w:div w:id="408885003">
                  <w:marLeft w:val="0"/>
                  <w:marRight w:val="0"/>
                  <w:marTop w:val="0"/>
                  <w:marBottom w:val="0"/>
                  <w:divBdr>
                    <w:top w:val="none" w:sz="0" w:space="0" w:color="auto"/>
                    <w:left w:val="none" w:sz="0" w:space="0" w:color="auto"/>
                    <w:bottom w:val="none" w:sz="0" w:space="0" w:color="auto"/>
                    <w:right w:val="none" w:sz="0" w:space="0" w:color="auto"/>
                  </w:divBdr>
                </w:div>
              </w:divsChild>
            </w:div>
            <w:div w:id="557932739">
              <w:marLeft w:val="0"/>
              <w:marRight w:val="0"/>
              <w:marTop w:val="300"/>
              <w:marBottom w:val="300"/>
              <w:divBdr>
                <w:top w:val="none" w:sz="0" w:space="0" w:color="auto"/>
                <w:left w:val="none" w:sz="0" w:space="0" w:color="auto"/>
                <w:bottom w:val="none" w:sz="0" w:space="0" w:color="auto"/>
                <w:right w:val="none" w:sz="0" w:space="0" w:color="auto"/>
              </w:divBdr>
              <w:divsChild>
                <w:div w:id="269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5934</Characters>
  <Application>Microsoft Office Word</Application>
  <DocSecurity>0</DocSecurity>
  <Lines>49</Lines>
  <Paragraphs>13</Paragraphs>
  <ScaleCrop>false</ScaleCrop>
  <Company>Grizli777</Company>
  <LinksUpToDate>false</LinksUpToDate>
  <CharactersWithSpaces>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2025-12-17T04:38:00Z</dcterms:created>
  <dcterms:modified xsi:type="dcterms:W3CDTF">2025-12-17T04:40:00Z</dcterms:modified>
</cp:coreProperties>
</file>