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A2" w:rsidRPr="00BF4BA2" w:rsidRDefault="00BF4BA2" w:rsidP="00BF4BA2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4B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Dual Writ </w:t>
      </w:r>
    </w:p>
    <w:p w:rsidR="00BF4BA2" w:rsidRPr="00BF4BA2" w:rsidRDefault="00BF4BA2" w:rsidP="00BF4BA2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4B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At the heart of </w:t>
      </w:r>
      <w:proofErr w:type="spellStart"/>
      <w:r w:rsidRPr="00BF4BA2">
        <w:rPr>
          <w:rFonts w:ascii="Times New Roman" w:eastAsia="Times New Roman" w:hAnsi="Times New Roman" w:cs="Times New Roman"/>
          <w:b/>
          <w:bCs/>
          <w:sz w:val="36"/>
          <w:szCs w:val="36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killings, revenge rapes, and historical practices like sati lies a single, deeply entrenched distortion: the objectification of women. </w:t>
      </w:r>
    </w:p>
    <w:p w:rsidR="00BF4BA2" w:rsidRPr="00BF4BA2" w:rsidRDefault="00BF4BA2" w:rsidP="00BF4BA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r w:rsidRPr="00BF4BA2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Ambassador G. R. </w:t>
        </w:r>
        <w:proofErr w:type="spellStart"/>
        <w:r w:rsidRPr="00BF4BA2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Baluch</w:t>
        </w:r>
        <w:proofErr w:type="spellEnd"/>
      </w:hyperlink>
      <w:r w:rsidRPr="00BF4BA2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F4BA2" w:rsidRPr="00BF4BA2" w:rsidRDefault="00BF4BA2" w:rsidP="00BF4BA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July 26, 2025 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In a harrowing reminder of parallel systems of justice in Pakistan, a young couple —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Banu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and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Ehsan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— were executed in cold blood by a tribal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jirga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in a remote region of Baluchistan. Their only crime: choosing to marry out of love, defying the traditional norms of their community. The sentence was death by firing squad — an archaic form of “justice” administered not by a court of law, but by the unwritten codes of tribal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This tragic incident reopens the long-standing debate about the writ of the state versus the writ of tribal traditions. The rule of law, enshrined in the Constitution of Pakistan, is undermined when extrajudicial tribal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jirgas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are allowed to function as shadow courts. While customary law holds a certain cultural relevance, its violent and patriarchal applications — particularly in cases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— are incompatible with human rights and modern justice.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At the heart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killings, revenge rapes, and historical practices like sati lies a single, deeply entrenched distortion: the objectification of women. In patriarchal societies across the world — from South Asia to the Balkans and even parts of the Middle East — a woman is not regarded as an autonomous being, but as a vessel of male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, tribal pride, or national humiliation. Her choices, body, and life are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commodified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politicised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, and often sacrificed at the altar of collective ego.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In the tribal belts of Pakistan and Afghanistan, a woman’s decision to marry out of love becomes a declaration of war against the tribe’s authority. Her murder is seen not as a crime, but as a restoration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ghairat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. In war zones like Bosnia or, more recently, Palestine, rape is employed as a weapon — not just against the individual woman, but against her entire community, as a tool to desecrate the “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” of her people.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The ancient Indian practice of sati, where widows were burned or buried alive with their deceased husbands, was justified by the grotesque belief that a woman’s physical existence had no meaning outside of her husband’s life. Even when banned by rulers like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Mughal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Emperor </w:t>
      </w:r>
      <w:r w:rsidRPr="00BF4BA2">
        <w:rPr>
          <w:rFonts w:ascii="Times New Roman" w:eastAsia="Times New Roman" w:hAnsi="Times New Roman" w:cs="Times New Roman"/>
          <w:szCs w:val="24"/>
        </w:rPr>
        <w:lastRenderedPageBreak/>
        <w:t xml:space="preserve">Aurangzeb and later the British Raj, some communities continued to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practise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it — not out of faith, but out of fear that a widow’s existence posed a moral risk to the community.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>Whether it is a tribal firing squad in Baluchistan, a Hindu funeral pyre in Rajasthan, or a Serbian soldier in a Bosnian rape camp — the logic is disturbingly consistent: the woman is not human; she is symbolic. Her life is less important than the reputation she represents.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This mindset is the root of violence — and unless dismantled, no law, reform, or policy can truly end the cycle of gender-based atrocities. We must begin by restoring the humanity of women —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recognising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them not as bearers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or shame, but as individuals with rights, will, dignity, and dreams.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Cultural justifications for such violence must no longer be tolerated. It is not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; it is misogyny wrapped in tradition. </w:t>
      </w:r>
      <w:proofErr w:type="gramStart"/>
      <w:r w:rsidRPr="00BF4BA2">
        <w:rPr>
          <w:rFonts w:ascii="Times New Roman" w:eastAsia="Times New Roman" w:hAnsi="Times New Roman" w:cs="Times New Roman"/>
          <w:szCs w:val="24"/>
        </w:rPr>
        <w:t xml:space="preserve">And this mindset, more than the weapons or the courts, must be confronted — in our homes, our schools, our mosques, our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jirgas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, and our parliaments.</w:t>
      </w:r>
      <w:proofErr w:type="gramEnd"/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killings are not confined to Pakistan. They occur in India, Iran, Afghanistan, and even in Western countries such as the United Kingdom, where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naturalised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South Asian citizens have brought these regressive practices with them. The underlying premise remains the same: </w:t>
      </w:r>
      <w:proofErr w:type="gramStart"/>
      <w:r w:rsidRPr="00BF4BA2">
        <w:rPr>
          <w:rFonts w:ascii="Times New Roman" w:eastAsia="Times New Roman" w:hAnsi="Times New Roman" w:cs="Times New Roman"/>
          <w:szCs w:val="24"/>
        </w:rPr>
        <w:t>that women’s</w:t>
      </w:r>
      <w:proofErr w:type="gramEnd"/>
      <w:r w:rsidRPr="00BF4BA2">
        <w:rPr>
          <w:rFonts w:ascii="Times New Roman" w:eastAsia="Times New Roman" w:hAnsi="Times New Roman" w:cs="Times New Roman"/>
          <w:szCs w:val="24"/>
        </w:rPr>
        <w:t xml:space="preserve"> choices — particularly in matters of marriage — must conform to patriarchal authority or be met with fatal consequences.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In Pakistan’s semi-settled and tribal regions — such as parts of Baluchistan and Khyber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Pakhtunkhwa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— state institutions often turn a blind eye to tribal verdicts. These regions are plagued by a legal vacuum, where the line between customary law and constitutional law is blurred. The enforcement of the rule of law remains weak, often overridden by centuries-old tribal codes.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This dual system of justice not only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delegitimises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the state but also puts vulnerable individuals — especially women — in grave danger. The state must make a decisive choice: either continue to tolerate a system of selective legality, or reinforce a universal justice system that defends the rights of all citizens, irrespective of geography or tribe.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India, facing similar challenges, has taken certain proactive steps against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killings: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Fast-track courts: Special courts have been set up to swiftly prosecute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crimes,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minimising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the possibility of community pressure or out-of-court settlements.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Legal protection for adult couples: In states like Haryana and Punjab — notorious for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killings — the judiciary has directed local police to provide protection to couples who fear familial violence.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lastRenderedPageBreak/>
        <w:t xml:space="preserve">Village-level awareness campaigns: NGOs and women’s groups conduct door-to-door awareness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programmes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to change mindsets around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and marriage.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>Pakistan can learn from these initiatives, tailoring them to its own social and cultural landscape.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>Concrete Steps Forward for Pakistan: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Empower Local Justice Officials: Appoint Family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Qazis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or Justices of Peace in tribal regions — especially women — trained in Islamic jurisprudence and constitutional law to act as mediators and protectors of adult couples seeking marriage rights.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Legal Protection Units (LPUs): Set up LPUs at the district level that offer legal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counselling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, protective custody, and shelter to at-risk couples. These units must be run by civil servants with authority and security support.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>Community Whistleblowers &amp; Vigilant Citizens’ Networks: Form networks of civil society activists, teachers, and local journalists to serve as early warning systems, alerting authorities before tribal “verdicts” are executed.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>Shelter Homes for Men and Women: Expand state-supported Dar-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ul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>-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Aman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institutions and introduce safe houses for both women and men who flee from tribal vengeance. These must be discreet, well-funded, and protected by court orders.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Digital Reporting Portals: In collaboration with civil society, create an anonymous online portal where potential victims or concerned citizens can report threats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killings.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BF4BA2">
        <w:rPr>
          <w:rFonts w:ascii="Times New Roman" w:eastAsia="Times New Roman" w:hAnsi="Times New Roman" w:cs="Times New Roman"/>
          <w:szCs w:val="24"/>
        </w:rPr>
        <w:t>Criminalisation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Jirga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Verdicts: The state must make it clear through legislation that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jirgas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passing death sentences are engaging in criminal conspiracy. There must be accountability — including for tribal elders who enable such rulings.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The case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Banu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and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Ehsan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is not just a tragedy — it is an indictment. The state cannot afford to tolerate two parallel systems of justice. Tribal customs that end in murder cannot be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romanticised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as heritage. The Constitution must reign supreme in all corners of the country.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As a society, we must confront the dark side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ghairat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, and stop sanctifying cruelty under the banner of culture. Women and men must be seen as full legal persons —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not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vessels of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or shame.</w:t>
      </w:r>
    </w:p>
    <w:p w:rsidR="00BF4BA2" w:rsidRPr="00BF4BA2" w:rsidRDefault="00BF4BA2" w:rsidP="00BF4BA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szCs w:val="24"/>
        </w:rPr>
        <w:t xml:space="preserve">It is time we </w:t>
      </w:r>
      <w:proofErr w:type="spellStart"/>
      <w:r w:rsidRPr="00BF4BA2">
        <w:rPr>
          <w:rFonts w:ascii="Times New Roman" w:eastAsia="Times New Roman" w:hAnsi="Times New Roman" w:cs="Times New Roman"/>
          <w:szCs w:val="24"/>
        </w:rPr>
        <w:t>honoured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t xml:space="preserve"> love, life, and choice — rather than executing them in the name of tradition.</w:t>
      </w:r>
    </w:p>
    <w:p w:rsidR="00BF4BA2" w:rsidRPr="00BF4BA2" w:rsidRDefault="00BF4BA2" w:rsidP="00BF4BA2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BF4BA2">
        <w:rPr>
          <w:rFonts w:ascii="Times New Roman" w:eastAsia="Times New Roman" w:hAnsi="Times New Roman" w:cs="Times New Roman"/>
          <w:b/>
          <w:bCs/>
          <w:szCs w:val="24"/>
        </w:rPr>
        <w:lastRenderedPageBreak/>
        <w:t xml:space="preserve">Ambassador G. R. </w:t>
      </w:r>
      <w:proofErr w:type="spellStart"/>
      <w:r w:rsidRPr="00BF4BA2">
        <w:rPr>
          <w:rFonts w:ascii="Times New Roman" w:eastAsia="Times New Roman" w:hAnsi="Times New Roman" w:cs="Times New Roman"/>
          <w:b/>
          <w:bCs/>
          <w:szCs w:val="24"/>
        </w:rPr>
        <w:t>Baluch</w:t>
      </w:r>
      <w:proofErr w:type="spellEnd"/>
      <w:r w:rsidRPr="00BF4BA2">
        <w:rPr>
          <w:rFonts w:ascii="Times New Roman" w:eastAsia="Times New Roman" w:hAnsi="Times New Roman" w:cs="Times New Roman"/>
          <w:szCs w:val="24"/>
        </w:rPr>
        <w:br/>
        <w:t>The writer is a former ambassador and Director Global and Regional Studies Center at IOBM University Karachi.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BF4BA2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4522A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BF4BA2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BF4B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4BA2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ambassador-g-r-ba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6259</Characters>
  <Application>Microsoft Office Word</Application>
  <DocSecurity>0</DocSecurity>
  <Lines>52</Lines>
  <Paragraphs>14</Paragraphs>
  <ScaleCrop>false</ScaleCrop>
  <Company>Grizli777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2025-07-31T05:21:00Z</dcterms:created>
  <dcterms:modified xsi:type="dcterms:W3CDTF">2025-07-31T05:25:00Z</dcterms:modified>
</cp:coreProperties>
</file>