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7BC" w:rsidRPr="002747BC" w:rsidRDefault="002747BC" w:rsidP="002747BC">
      <w:pPr>
        <w:spacing w:before="100" w:beforeAutospacing="1" w:after="100" w:afterAutospacing="1"/>
        <w:ind w:firstLine="0"/>
        <w:outlineLvl w:val="0"/>
        <w:rPr>
          <w:rFonts w:ascii="Times New Roman" w:eastAsia="Times New Roman" w:hAnsi="Times New Roman" w:cs="Times New Roman"/>
          <w:b/>
          <w:bCs/>
          <w:kern w:val="36"/>
          <w:sz w:val="48"/>
          <w:szCs w:val="48"/>
        </w:rPr>
      </w:pPr>
      <w:r w:rsidRPr="002747BC">
        <w:rPr>
          <w:rFonts w:ascii="Times New Roman" w:eastAsia="Times New Roman" w:hAnsi="Times New Roman" w:cs="Times New Roman"/>
          <w:b/>
          <w:bCs/>
          <w:kern w:val="36"/>
          <w:sz w:val="48"/>
          <w:szCs w:val="48"/>
        </w:rPr>
        <w:t>Complicity in Gaza</w:t>
      </w:r>
    </w:p>
    <w:p w:rsidR="002747BC" w:rsidRPr="002747BC" w:rsidRDefault="002747BC" w:rsidP="002747BC">
      <w:pPr>
        <w:ind w:firstLine="0"/>
        <w:rPr>
          <w:rFonts w:ascii="Times New Roman" w:eastAsia="Times New Roman" w:hAnsi="Times New Roman" w:cs="Times New Roman"/>
          <w:sz w:val="24"/>
          <w:szCs w:val="24"/>
        </w:rPr>
      </w:pPr>
      <w:proofErr w:type="spellStart"/>
      <w:r w:rsidRPr="002747BC">
        <w:rPr>
          <w:rFonts w:ascii="Times New Roman" w:eastAsia="Times New Roman" w:hAnsi="Times New Roman" w:cs="Times New Roman"/>
          <w:sz w:val="24"/>
          <w:szCs w:val="24"/>
        </w:rPr>
        <w:t>Binoy</w:t>
      </w:r>
      <w:proofErr w:type="spellEnd"/>
      <w:r w:rsidRPr="002747BC">
        <w:rPr>
          <w:rFonts w:ascii="Times New Roman" w:eastAsia="Times New Roman" w:hAnsi="Times New Roman" w:cs="Times New Roman"/>
          <w:sz w:val="24"/>
          <w:szCs w:val="24"/>
        </w:rPr>
        <w:t xml:space="preserve"> </w:t>
      </w:r>
      <w:proofErr w:type="spellStart"/>
      <w:r w:rsidRPr="002747BC">
        <w:rPr>
          <w:rFonts w:ascii="Times New Roman" w:eastAsia="Times New Roman" w:hAnsi="Times New Roman" w:cs="Times New Roman"/>
          <w:sz w:val="24"/>
          <w:szCs w:val="24"/>
        </w:rPr>
        <w:t>Kampmark</w:t>
      </w:r>
      <w:proofErr w:type="spellEnd"/>
      <w:r w:rsidRPr="002747BC">
        <w:rPr>
          <w:rFonts w:ascii="Times New Roman" w:eastAsia="Times New Roman" w:hAnsi="Times New Roman" w:cs="Times New Roman"/>
          <w:sz w:val="24"/>
          <w:szCs w:val="24"/>
        </w:rPr>
        <w:t xml:space="preserve"> </w:t>
      </w:r>
    </w:p>
    <w:p w:rsidR="002747BC" w:rsidRPr="002747BC" w:rsidRDefault="002747BC" w:rsidP="002747BC">
      <w:pPr>
        <w:ind w:firstLine="0"/>
        <w:rPr>
          <w:rFonts w:ascii="Times New Roman" w:eastAsia="Times New Roman" w:hAnsi="Times New Roman" w:cs="Times New Roman"/>
          <w:sz w:val="24"/>
          <w:szCs w:val="24"/>
        </w:rPr>
      </w:pPr>
      <w:r w:rsidRPr="002747BC">
        <w:rPr>
          <w:rFonts w:ascii="Times New Roman" w:eastAsia="Times New Roman" w:hAnsi="Times New Roman" w:cs="Times New Roman"/>
          <w:sz w:val="24"/>
          <w:szCs w:val="24"/>
        </w:rPr>
        <w:t>Monday, Mar 25, 2024</w:t>
      </w:r>
    </w:p>
    <w:p w:rsidR="002747BC" w:rsidRPr="002747BC" w:rsidRDefault="002747BC" w:rsidP="002747BC">
      <w:pPr>
        <w:spacing w:before="100" w:beforeAutospacing="1" w:after="100" w:afterAutospacing="1"/>
        <w:ind w:firstLine="0"/>
        <w:rPr>
          <w:rFonts w:ascii="Times New Roman" w:eastAsia="Times New Roman" w:hAnsi="Times New Roman" w:cs="Times New Roman"/>
          <w:sz w:val="24"/>
          <w:szCs w:val="24"/>
        </w:rPr>
      </w:pPr>
      <w:r w:rsidRPr="002747BC">
        <w:rPr>
          <w:rFonts w:ascii="Times New Roman" w:eastAsia="Times New Roman" w:hAnsi="Times New Roman" w:cs="Times New Roman"/>
          <w:sz w:val="24"/>
          <w:szCs w:val="24"/>
        </w:rPr>
        <w:t xml:space="preserve">On March 15, the next stage of an intriguing legal process seeking to hold the Biden administration accountable for its failure to prevent, as well as being complicit in, alleged acts of genocide taking place in Gaza, was taken. It all stems from a lawsuit filed last November in the US District Court for the Northern District of California by the Center for Constitutional Rights, representing a number of Palestinian human rights </w:t>
      </w:r>
      <w:proofErr w:type="spellStart"/>
      <w:r w:rsidRPr="002747BC">
        <w:rPr>
          <w:rFonts w:ascii="Times New Roman" w:eastAsia="Times New Roman" w:hAnsi="Times New Roman" w:cs="Times New Roman"/>
          <w:sz w:val="24"/>
          <w:szCs w:val="24"/>
        </w:rPr>
        <w:t>organisations</w:t>
      </w:r>
      <w:proofErr w:type="spellEnd"/>
      <w:r w:rsidRPr="002747BC">
        <w:rPr>
          <w:rFonts w:ascii="Times New Roman" w:eastAsia="Times New Roman" w:hAnsi="Times New Roman" w:cs="Times New Roman"/>
          <w:sz w:val="24"/>
          <w:szCs w:val="24"/>
        </w:rPr>
        <w:t xml:space="preserve"> including Palestinians in Gaza and the United States. </w:t>
      </w:r>
    </w:p>
    <w:p w:rsidR="002747BC" w:rsidRPr="002747BC" w:rsidRDefault="002747BC" w:rsidP="002747BC">
      <w:pPr>
        <w:spacing w:before="100" w:beforeAutospacing="1" w:after="100" w:afterAutospacing="1"/>
        <w:ind w:firstLine="0"/>
        <w:rPr>
          <w:rFonts w:ascii="Times New Roman" w:eastAsia="Times New Roman" w:hAnsi="Times New Roman" w:cs="Times New Roman"/>
          <w:sz w:val="24"/>
          <w:szCs w:val="24"/>
        </w:rPr>
      </w:pPr>
      <w:r w:rsidRPr="002747BC">
        <w:rPr>
          <w:rFonts w:ascii="Times New Roman" w:eastAsia="Times New Roman" w:hAnsi="Times New Roman" w:cs="Times New Roman"/>
          <w:sz w:val="24"/>
          <w:szCs w:val="24"/>
        </w:rPr>
        <w:t>The lawsuit sought an order from the court “requiring that the President of the United States, the Secretary of State, and the Secretary of Defense adhere to their duty to prevent, and not further, the unfolding genocide of Palestinian people in Gaza.” The relevant duty arose by virtue of the UN Genocide Convention of 1948, which made obligations under it “judicially enforceable as a peremptory norm of customary international law.”</w:t>
      </w:r>
    </w:p>
    <w:p w:rsidR="002747BC" w:rsidRPr="002747BC" w:rsidRDefault="002747BC" w:rsidP="002747BC">
      <w:pPr>
        <w:spacing w:before="100" w:beforeAutospacing="1" w:after="100" w:afterAutospacing="1"/>
        <w:ind w:firstLine="0"/>
        <w:rPr>
          <w:rFonts w:ascii="Times New Roman" w:eastAsia="Times New Roman" w:hAnsi="Times New Roman" w:cs="Times New Roman"/>
          <w:sz w:val="24"/>
          <w:szCs w:val="24"/>
        </w:rPr>
      </w:pPr>
      <w:r w:rsidRPr="002747BC">
        <w:rPr>
          <w:rFonts w:ascii="Times New Roman" w:eastAsia="Times New Roman" w:hAnsi="Times New Roman" w:cs="Times New Roman"/>
          <w:sz w:val="24"/>
          <w:szCs w:val="24"/>
        </w:rPr>
        <w:t xml:space="preserve">The complaint further alleged that the genocidal conditions in Gaza had “so far been made possible because of unconditional support given [to Israel] by the named official-capacity defendants in this case,” namely, President Joseph Biden, Secretary of State Antony </w:t>
      </w:r>
      <w:proofErr w:type="spellStart"/>
      <w:r w:rsidRPr="002747BC">
        <w:rPr>
          <w:rFonts w:ascii="Times New Roman" w:eastAsia="Times New Roman" w:hAnsi="Times New Roman" w:cs="Times New Roman"/>
          <w:sz w:val="24"/>
          <w:szCs w:val="24"/>
        </w:rPr>
        <w:t>Blinken</w:t>
      </w:r>
      <w:proofErr w:type="spellEnd"/>
      <w:r w:rsidRPr="002747BC">
        <w:rPr>
          <w:rFonts w:ascii="Times New Roman" w:eastAsia="Times New Roman" w:hAnsi="Times New Roman" w:cs="Times New Roman"/>
          <w:sz w:val="24"/>
          <w:szCs w:val="24"/>
        </w:rPr>
        <w:t xml:space="preserve"> and Secretary of Defense Lloyd Austin.</w:t>
      </w:r>
    </w:p>
    <w:p w:rsidR="002747BC" w:rsidRPr="002747BC" w:rsidRDefault="002747BC" w:rsidP="002747BC">
      <w:pPr>
        <w:spacing w:before="100" w:beforeAutospacing="1" w:after="100" w:afterAutospacing="1"/>
        <w:ind w:firstLine="0"/>
        <w:rPr>
          <w:rFonts w:ascii="Times New Roman" w:eastAsia="Times New Roman" w:hAnsi="Times New Roman" w:cs="Times New Roman"/>
          <w:sz w:val="24"/>
          <w:szCs w:val="24"/>
        </w:rPr>
      </w:pPr>
      <w:r w:rsidRPr="002747BC">
        <w:rPr>
          <w:rFonts w:ascii="Times New Roman" w:eastAsia="Times New Roman" w:hAnsi="Times New Roman" w:cs="Times New Roman"/>
          <w:sz w:val="24"/>
          <w:szCs w:val="24"/>
        </w:rPr>
        <w:t>Such legal challenges can face challenges. Can the foreign policy of a state, which is the purview of the executive, fall within the scope of judicial review? In some countries, this has been shown to be the case – consider the Dutch appeals court decision compelling the government of the Netherlands to halt the transfer of F-35 parts to Israel for fear it would fall foul of the Genocide Convention. “The Netherlands,” the court found, “is obligated to prohibit the export of military goods if there is a clear risk of serious violations of international humanitarian law.”</w:t>
      </w:r>
    </w:p>
    <w:p w:rsidR="002747BC" w:rsidRPr="002747BC" w:rsidRDefault="002747BC" w:rsidP="002747BC">
      <w:pPr>
        <w:spacing w:before="100" w:beforeAutospacing="1" w:after="100" w:afterAutospacing="1"/>
        <w:ind w:firstLine="0"/>
        <w:rPr>
          <w:rFonts w:ascii="Times New Roman" w:eastAsia="Times New Roman" w:hAnsi="Times New Roman" w:cs="Times New Roman"/>
          <w:sz w:val="24"/>
          <w:szCs w:val="24"/>
        </w:rPr>
      </w:pPr>
      <w:r w:rsidRPr="002747BC">
        <w:rPr>
          <w:rFonts w:ascii="Times New Roman" w:eastAsia="Times New Roman" w:hAnsi="Times New Roman" w:cs="Times New Roman"/>
          <w:sz w:val="24"/>
          <w:szCs w:val="24"/>
        </w:rPr>
        <w:t>In the US, the separation of powers walls off judicial interference in matters of foreign policy. Jeffrey S. White, in dismissing the case at first instance, admitted it was the “most difficult” of his career, conceding that the factual grounds asserted by the plaintiffs seemed largely “uncontroverted”. He also acknowledged the legal noise and interest caused by South Africa’s action in the International Court of Justice against Israel, one contending that Israel’s conduct against Palestinians in the Gaza Strip satisfied the elements of genocide.</w:t>
      </w:r>
    </w:p>
    <w:p w:rsidR="002747BC" w:rsidRPr="002747BC" w:rsidRDefault="002747BC" w:rsidP="002747BC">
      <w:pPr>
        <w:spacing w:before="100" w:beforeAutospacing="1" w:after="100" w:afterAutospacing="1"/>
        <w:ind w:firstLine="0"/>
        <w:rPr>
          <w:rFonts w:ascii="Times New Roman" w:eastAsia="Times New Roman" w:hAnsi="Times New Roman" w:cs="Times New Roman"/>
          <w:sz w:val="24"/>
          <w:szCs w:val="24"/>
        </w:rPr>
      </w:pPr>
      <w:r w:rsidRPr="002747BC">
        <w:rPr>
          <w:rFonts w:ascii="Times New Roman" w:eastAsia="Times New Roman" w:hAnsi="Times New Roman" w:cs="Times New Roman"/>
          <w:sz w:val="24"/>
          <w:szCs w:val="24"/>
        </w:rPr>
        <w:t xml:space="preserve">While the ICJ is unlikely to reach a conclusion on the matter any time soon, it issued an interim order of provisional measures explicitly putting Israel on notice to comply with the Genocide Convention, punish those responsible for directly and publicly inciting genocide, permit basic </w:t>
      </w:r>
      <w:r w:rsidRPr="002747BC">
        <w:rPr>
          <w:rFonts w:ascii="Times New Roman" w:eastAsia="Times New Roman" w:hAnsi="Times New Roman" w:cs="Times New Roman"/>
          <w:sz w:val="24"/>
          <w:szCs w:val="24"/>
        </w:rPr>
        <w:lastRenderedPageBreak/>
        <w:t>humanitarian assistance and essential services to the Gaza Strip, preserve relevant evidence pertaining to potential genocidal acts and report to the ICJ on its compliance within a month.</w:t>
      </w:r>
    </w:p>
    <w:p w:rsidR="002747BC" w:rsidRPr="002747BC" w:rsidRDefault="002747BC" w:rsidP="002747BC">
      <w:pPr>
        <w:spacing w:before="100" w:beforeAutospacing="1" w:after="100" w:afterAutospacing="1"/>
        <w:ind w:firstLine="0"/>
        <w:rPr>
          <w:rFonts w:ascii="Times New Roman" w:eastAsia="Times New Roman" w:hAnsi="Times New Roman" w:cs="Times New Roman"/>
          <w:sz w:val="24"/>
          <w:szCs w:val="24"/>
        </w:rPr>
      </w:pPr>
      <w:r w:rsidRPr="002747BC">
        <w:rPr>
          <w:rFonts w:ascii="Times New Roman" w:eastAsia="Times New Roman" w:hAnsi="Times New Roman" w:cs="Times New Roman"/>
          <w:sz w:val="24"/>
          <w:szCs w:val="24"/>
        </w:rPr>
        <w:t xml:space="preserve">In White’s words, “the undisputed evidence before this Court comports with the finding of the ICJ and indicates that the current treatment of the Palestinians in the Gaza Strip by the Israeli military may plausibly constitute </w:t>
      </w:r>
      <w:proofErr w:type="gramStart"/>
      <w:r w:rsidRPr="002747BC">
        <w:rPr>
          <w:rFonts w:ascii="Times New Roman" w:eastAsia="Times New Roman" w:hAnsi="Times New Roman" w:cs="Times New Roman"/>
          <w:sz w:val="24"/>
          <w:szCs w:val="24"/>
        </w:rPr>
        <w:t>a genocide</w:t>
      </w:r>
      <w:proofErr w:type="gramEnd"/>
      <w:r w:rsidRPr="002747BC">
        <w:rPr>
          <w:rFonts w:ascii="Times New Roman" w:eastAsia="Times New Roman" w:hAnsi="Times New Roman" w:cs="Times New Roman"/>
          <w:sz w:val="24"/>
          <w:szCs w:val="24"/>
        </w:rPr>
        <w:t xml:space="preserve"> in violation of international law.” But to compel the US government to cease aid to Israel of a financial and military matter were matters “intimately related to foreign policy and national security”. The judiciary was, reasoned White, “not equipped with the intelligence or the acumen necessary to make foreign policy decisions on behalf of the government.”</w:t>
      </w:r>
    </w:p>
    <w:p w:rsidR="002747BC" w:rsidRPr="002747BC" w:rsidRDefault="002747BC" w:rsidP="002747BC">
      <w:pPr>
        <w:spacing w:before="100" w:beforeAutospacing="1" w:after="100" w:afterAutospacing="1"/>
        <w:ind w:firstLine="0"/>
        <w:rPr>
          <w:rFonts w:ascii="Times New Roman" w:eastAsia="Times New Roman" w:hAnsi="Times New Roman" w:cs="Times New Roman"/>
          <w:sz w:val="24"/>
          <w:szCs w:val="24"/>
        </w:rPr>
      </w:pPr>
      <w:r w:rsidRPr="002747BC">
        <w:rPr>
          <w:rFonts w:ascii="Times New Roman" w:eastAsia="Times New Roman" w:hAnsi="Times New Roman" w:cs="Times New Roman"/>
          <w:sz w:val="24"/>
          <w:szCs w:val="24"/>
        </w:rPr>
        <w:t xml:space="preserve">On March 8, an appeal was filed by the Center for Constitutional Rights and co-counsel Van </w:t>
      </w:r>
      <w:proofErr w:type="spellStart"/>
      <w:r w:rsidRPr="002747BC">
        <w:rPr>
          <w:rFonts w:ascii="Times New Roman" w:eastAsia="Times New Roman" w:hAnsi="Times New Roman" w:cs="Times New Roman"/>
          <w:sz w:val="24"/>
          <w:szCs w:val="24"/>
        </w:rPr>
        <w:t>Der</w:t>
      </w:r>
      <w:proofErr w:type="spellEnd"/>
      <w:r w:rsidRPr="002747BC">
        <w:rPr>
          <w:rFonts w:ascii="Times New Roman" w:eastAsia="Times New Roman" w:hAnsi="Times New Roman" w:cs="Times New Roman"/>
          <w:sz w:val="24"/>
          <w:szCs w:val="24"/>
        </w:rPr>
        <w:t xml:space="preserve"> </w:t>
      </w:r>
      <w:proofErr w:type="spellStart"/>
      <w:r w:rsidRPr="002747BC">
        <w:rPr>
          <w:rFonts w:ascii="Times New Roman" w:eastAsia="Times New Roman" w:hAnsi="Times New Roman" w:cs="Times New Roman"/>
          <w:sz w:val="24"/>
          <w:szCs w:val="24"/>
        </w:rPr>
        <w:t>Hout</w:t>
      </w:r>
      <w:proofErr w:type="spellEnd"/>
      <w:r w:rsidRPr="002747BC">
        <w:rPr>
          <w:rFonts w:ascii="Times New Roman" w:eastAsia="Times New Roman" w:hAnsi="Times New Roman" w:cs="Times New Roman"/>
          <w:sz w:val="24"/>
          <w:szCs w:val="24"/>
        </w:rPr>
        <w:t xml:space="preserve"> LLP in the Court of Appeals for the Ninth Circuit arguing that aiding and abetting genocide can never be seen as a legitimate, unquestioned policy decision. The federal judiciary was duty bound to uphold the Genocide Convention, one that had taken on “an urgent, even existential dimension when the legal violation at issue is facilitating and even accelerating the destruction of an entire people.”</w:t>
      </w:r>
    </w:p>
    <w:p w:rsidR="002747BC" w:rsidRPr="002747BC" w:rsidRDefault="002747BC" w:rsidP="002747BC">
      <w:pPr>
        <w:spacing w:before="100" w:beforeAutospacing="1" w:after="100" w:afterAutospacing="1"/>
        <w:ind w:firstLine="0"/>
        <w:rPr>
          <w:rFonts w:ascii="Times New Roman" w:eastAsia="Times New Roman" w:hAnsi="Times New Roman" w:cs="Times New Roman"/>
          <w:sz w:val="24"/>
          <w:szCs w:val="24"/>
        </w:rPr>
      </w:pPr>
      <w:r w:rsidRPr="002747BC">
        <w:rPr>
          <w:rFonts w:ascii="Times New Roman" w:eastAsia="Times New Roman" w:hAnsi="Times New Roman" w:cs="Times New Roman"/>
          <w:sz w:val="24"/>
          <w:szCs w:val="24"/>
        </w:rPr>
        <w:t>Within a matter of days, eight amicus briefs were submitted supporting the Palestinian plaintiffs. In one brief, eleven constitutional, federal courts and international law scholars submit in severe fashion that “affirming the district court’s decision would create serious mischief and uncertainty by contradicting this Court’s and the US Supreme Court’s political question jurisprudence and degrading the essential judicial role in interpreting and applying the law, including norms of international law, treaties, and their implementing statutes.”</w:t>
      </w:r>
    </w:p>
    <w:p w:rsidR="002747BC" w:rsidRPr="002747BC" w:rsidRDefault="002747BC" w:rsidP="002747BC">
      <w:pPr>
        <w:spacing w:before="100" w:beforeAutospacing="1" w:after="100" w:afterAutospacing="1"/>
        <w:ind w:firstLine="0"/>
        <w:rPr>
          <w:rFonts w:ascii="Times New Roman" w:eastAsia="Times New Roman" w:hAnsi="Times New Roman" w:cs="Times New Roman"/>
          <w:sz w:val="24"/>
          <w:szCs w:val="24"/>
        </w:rPr>
      </w:pPr>
      <w:proofErr w:type="gramStart"/>
      <w:r w:rsidRPr="002747BC">
        <w:rPr>
          <w:rFonts w:ascii="Times New Roman" w:eastAsia="Times New Roman" w:hAnsi="Times New Roman" w:cs="Times New Roman"/>
          <w:sz w:val="24"/>
          <w:szCs w:val="24"/>
        </w:rPr>
        <w:t xml:space="preserve">While Justice White had noted the obvious proposition that foreign policy remained a matter for the political branches of government, with disputes on the subject being </w:t>
      </w:r>
      <w:proofErr w:type="spellStart"/>
      <w:r w:rsidRPr="002747BC">
        <w:rPr>
          <w:rFonts w:ascii="Times New Roman" w:eastAsia="Times New Roman" w:hAnsi="Times New Roman" w:cs="Times New Roman"/>
          <w:sz w:val="24"/>
          <w:szCs w:val="24"/>
        </w:rPr>
        <w:t>nonjusticiable</w:t>
      </w:r>
      <w:proofErr w:type="spellEnd"/>
      <w:r w:rsidRPr="002747BC">
        <w:rPr>
          <w:rFonts w:ascii="Times New Roman" w:eastAsia="Times New Roman" w:hAnsi="Times New Roman" w:cs="Times New Roman"/>
          <w:sz w:val="24"/>
          <w:szCs w:val="24"/>
        </w:rPr>
        <w:t>, “that principle was not actually at issue in this case.”</w:t>
      </w:r>
      <w:proofErr w:type="gramEnd"/>
      <w:r w:rsidRPr="002747BC">
        <w:rPr>
          <w:rFonts w:ascii="Times New Roman" w:eastAsia="Times New Roman" w:hAnsi="Times New Roman" w:cs="Times New Roman"/>
          <w:sz w:val="24"/>
          <w:szCs w:val="24"/>
        </w:rPr>
        <w:t xml:space="preserve"> The Supreme Court had </w:t>
      </w:r>
      <w:proofErr w:type="spellStart"/>
      <w:r w:rsidRPr="002747BC">
        <w:rPr>
          <w:rFonts w:ascii="Times New Roman" w:eastAsia="Times New Roman" w:hAnsi="Times New Roman" w:cs="Times New Roman"/>
          <w:sz w:val="24"/>
          <w:szCs w:val="24"/>
        </w:rPr>
        <w:t>recognised</w:t>
      </w:r>
      <w:proofErr w:type="spellEnd"/>
      <w:r w:rsidRPr="002747BC">
        <w:rPr>
          <w:rFonts w:ascii="Times New Roman" w:eastAsia="Times New Roman" w:hAnsi="Times New Roman" w:cs="Times New Roman"/>
          <w:sz w:val="24"/>
          <w:szCs w:val="24"/>
        </w:rPr>
        <w:t xml:space="preserve"> that “legal disputes that touch on foreign affairs are not automatically policy disputes or political questions.” In this instance, the district court had “eschewed its responsibility to closely analyze the actual issues presented in favor of abstraction, generality, and already rejected misconceptions about what is and is not a political question.”</w:t>
      </w:r>
    </w:p>
    <w:p w:rsidR="002747BC" w:rsidRPr="002747BC" w:rsidRDefault="002747BC" w:rsidP="002747BC">
      <w:pPr>
        <w:spacing w:before="100" w:beforeAutospacing="1" w:after="100" w:afterAutospacing="1"/>
        <w:ind w:firstLine="0"/>
        <w:rPr>
          <w:rFonts w:ascii="Times New Roman" w:eastAsia="Times New Roman" w:hAnsi="Times New Roman" w:cs="Times New Roman"/>
          <w:sz w:val="24"/>
          <w:szCs w:val="24"/>
        </w:rPr>
      </w:pPr>
      <w:r w:rsidRPr="002747BC">
        <w:rPr>
          <w:rFonts w:ascii="Times New Roman" w:eastAsia="Times New Roman" w:hAnsi="Times New Roman" w:cs="Times New Roman"/>
          <w:sz w:val="24"/>
          <w:szCs w:val="24"/>
        </w:rPr>
        <w:t xml:space="preserve">Another brief from seventeen former diplomats, service members and intelligence officers argues that “courts may decide whether an act violates a law, and that a finding that they cannot would harm US foreign policy.” The authors accepted “for present purposes that the district court’s factual finding, that the Israeli military’s conduct may plausibly constitute genocide, accurately reflects the record and controls at this juncture.” Again, White was taken to task for not appreciating the distinction between the “wisdom” of foreign policy – a </w:t>
      </w:r>
      <w:proofErr w:type="spellStart"/>
      <w:r w:rsidRPr="002747BC">
        <w:rPr>
          <w:rFonts w:ascii="Times New Roman" w:eastAsia="Times New Roman" w:hAnsi="Times New Roman" w:cs="Times New Roman"/>
          <w:sz w:val="24"/>
          <w:szCs w:val="24"/>
        </w:rPr>
        <w:t>nonjusticiable</w:t>
      </w:r>
      <w:proofErr w:type="spellEnd"/>
      <w:r w:rsidRPr="002747BC">
        <w:rPr>
          <w:rFonts w:ascii="Times New Roman" w:eastAsia="Times New Roman" w:hAnsi="Times New Roman" w:cs="Times New Roman"/>
          <w:sz w:val="24"/>
          <w:szCs w:val="24"/>
        </w:rPr>
        <w:t xml:space="preserve"> issue – and “cases that question the legality of foreign policy, because applying the law to determine the legality of government action is the judiciary’s responsibility.”</w:t>
      </w:r>
    </w:p>
    <w:p w:rsidR="002747BC" w:rsidRPr="002747BC" w:rsidRDefault="002747BC" w:rsidP="002747BC">
      <w:pPr>
        <w:spacing w:before="100" w:beforeAutospacing="1" w:after="100" w:afterAutospacing="1"/>
        <w:ind w:firstLine="0"/>
        <w:rPr>
          <w:rFonts w:ascii="Times New Roman" w:eastAsia="Times New Roman" w:hAnsi="Times New Roman" w:cs="Times New Roman"/>
          <w:sz w:val="24"/>
          <w:szCs w:val="24"/>
        </w:rPr>
      </w:pPr>
      <w:r w:rsidRPr="002747BC">
        <w:rPr>
          <w:rFonts w:ascii="Times New Roman" w:eastAsia="Times New Roman" w:hAnsi="Times New Roman" w:cs="Times New Roman"/>
          <w:sz w:val="24"/>
          <w:szCs w:val="24"/>
        </w:rPr>
        <w:lastRenderedPageBreak/>
        <w:t xml:space="preserve">Most impressive for the plaintiffs was the filing by 139 human rights </w:t>
      </w:r>
      <w:proofErr w:type="spellStart"/>
      <w:r w:rsidRPr="002747BC">
        <w:rPr>
          <w:rFonts w:ascii="Times New Roman" w:eastAsia="Times New Roman" w:hAnsi="Times New Roman" w:cs="Times New Roman"/>
          <w:sz w:val="24"/>
          <w:szCs w:val="24"/>
        </w:rPr>
        <w:t>organisations</w:t>
      </w:r>
      <w:proofErr w:type="spellEnd"/>
      <w:r w:rsidRPr="002747BC">
        <w:rPr>
          <w:rFonts w:ascii="Times New Roman" w:eastAsia="Times New Roman" w:hAnsi="Times New Roman" w:cs="Times New Roman"/>
          <w:sz w:val="24"/>
          <w:szCs w:val="24"/>
        </w:rPr>
        <w:t xml:space="preserve">, bar associations and social justice movement lawyers reiterating the point that “allegations of the United States’ violations of the duties to prevent genocide and avoid complicity in its commission are clearly </w:t>
      </w:r>
      <w:proofErr w:type="spellStart"/>
      <w:r w:rsidRPr="002747BC">
        <w:rPr>
          <w:rFonts w:ascii="Times New Roman" w:eastAsia="Times New Roman" w:hAnsi="Times New Roman" w:cs="Times New Roman"/>
          <w:sz w:val="24"/>
          <w:szCs w:val="24"/>
        </w:rPr>
        <w:t>justiciable</w:t>
      </w:r>
      <w:proofErr w:type="spellEnd"/>
      <w:r w:rsidRPr="002747BC">
        <w:rPr>
          <w:rFonts w:ascii="Times New Roman" w:eastAsia="Times New Roman" w:hAnsi="Times New Roman" w:cs="Times New Roman"/>
          <w:sz w:val="24"/>
          <w:szCs w:val="24"/>
        </w:rPr>
        <w:t>.” International law, by virtue of its “decentralized” nature, placed reliance upon States “to enforce the obligations to which they have consented, imposing a primary duty to the domestic courts of each State to ensure the compliance of their executive and legislative bodies with international law.”</w:t>
      </w:r>
    </w:p>
    <w:p w:rsidR="002747BC" w:rsidRPr="002747BC" w:rsidRDefault="002747BC" w:rsidP="002747BC">
      <w:pPr>
        <w:spacing w:before="100" w:beforeAutospacing="1" w:after="100" w:afterAutospacing="1"/>
        <w:ind w:firstLine="0"/>
        <w:rPr>
          <w:rFonts w:ascii="Times New Roman" w:eastAsia="Times New Roman" w:hAnsi="Times New Roman" w:cs="Times New Roman"/>
          <w:sz w:val="24"/>
          <w:szCs w:val="24"/>
        </w:rPr>
      </w:pPr>
      <w:r w:rsidRPr="002747BC">
        <w:rPr>
          <w:rFonts w:ascii="Times New Roman" w:eastAsia="Times New Roman" w:hAnsi="Times New Roman" w:cs="Times New Roman"/>
          <w:sz w:val="24"/>
          <w:szCs w:val="24"/>
        </w:rPr>
        <w:t xml:space="preserve">Oral arguments will be heard in San Francisco in June 2024. By that time, the killing, starving and displacement of the Palestinian populace in Gaza will have further </w:t>
      </w:r>
      <w:proofErr w:type="spellStart"/>
      <w:r w:rsidRPr="002747BC">
        <w:rPr>
          <w:rFonts w:ascii="Times New Roman" w:eastAsia="Times New Roman" w:hAnsi="Times New Roman" w:cs="Times New Roman"/>
          <w:sz w:val="24"/>
          <w:szCs w:val="24"/>
        </w:rPr>
        <w:t>crystallised</w:t>
      </w:r>
      <w:proofErr w:type="spellEnd"/>
      <w:r w:rsidRPr="002747BC">
        <w:rPr>
          <w:rFonts w:ascii="Times New Roman" w:eastAsia="Times New Roman" w:hAnsi="Times New Roman" w:cs="Times New Roman"/>
          <w:sz w:val="24"/>
          <w:szCs w:val="24"/>
        </w:rPr>
        <w:t xml:space="preserve"> in its horror, leaving the legal fraternity dragging their feet. But over the cadaverous nature of this conflict, litigants in the US may be clearer about whether courts can hold the government to account for aiding and abetting the commission of alleged acts of genocide.</w:t>
      </w:r>
    </w:p>
    <w:p w:rsidR="002747BC" w:rsidRPr="002747BC" w:rsidRDefault="002747BC" w:rsidP="002747BC">
      <w:pPr>
        <w:spacing w:before="100" w:beforeAutospacing="1" w:after="100" w:afterAutospacing="1"/>
        <w:ind w:firstLine="0"/>
        <w:rPr>
          <w:rFonts w:ascii="Times New Roman" w:eastAsia="Times New Roman" w:hAnsi="Times New Roman" w:cs="Times New Roman"/>
          <w:sz w:val="24"/>
          <w:szCs w:val="24"/>
        </w:rPr>
      </w:pPr>
      <w:r w:rsidRPr="002747BC">
        <w:rPr>
          <w:rFonts w:ascii="Times New Roman" w:eastAsia="Times New Roman" w:hAnsi="Times New Roman" w:cs="Times New Roman"/>
          <w:sz w:val="24"/>
          <w:szCs w:val="24"/>
        </w:rPr>
        <w:t>Originally published as: ‘Complicity in Gaza: Holding US Foreign Policy Legally Accountable’.</w:t>
      </w:r>
    </w:p>
    <w:p w:rsidR="002747BC" w:rsidRPr="002747BC" w:rsidRDefault="002747BC" w:rsidP="002747BC">
      <w:pPr>
        <w:spacing w:before="100" w:beforeAutospacing="1" w:after="100" w:afterAutospacing="1"/>
        <w:ind w:firstLine="0"/>
        <w:rPr>
          <w:rFonts w:ascii="Times New Roman" w:eastAsia="Times New Roman" w:hAnsi="Times New Roman" w:cs="Times New Roman"/>
          <w:sz w:val="24"/>
          <w:szCs w:val="24"/>
        </w:rPr>
      </w:pPr>
      <w:r w:rsidRPr="002747BC">
        <w:rPr>
          <w:rFonts w:ascii="Times New Roman" w:eastAsia="Times New Roman" w:hAnsi="Times New Roman" w:cs="Times New Roman"/>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788A"/>
    <w:multiLevelType w:val="multilevel"/>
    <w:tmpl w:val="395E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747BC"/>
    <w:rsid w:val="000F3610"/>
    <w:rsid w:val="0018508C"/>
    <w:rsid w:val="001D21CD"/>
    <w:rsid w:val="002747BC"/>
    <w:rsid w:val="002F5C52"/>
    <w:rsid w:val="003256B7"/>
    <w:rsid w:val="0036064A"/>
    <w:rsid w:val="00383BB2"/>
    <w:rsid w:val="004B43BE"/>
    <w:rsid w:val="004E08AD"/>
    <w:rsid w:val="004F73B2"/>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2747BC"/>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47BC"/>
    <w:rPr>
      <w:rFonts w:ascii="Tahoma" w:hAnsi="Tahoma" w:cs="Tahoma"/>
      <w:szCs w:val="16"/>
    </w:rPr>
  </w:style>
  <w:style w:type="character" w:customStyle="1" w:styleId="BalloonTextChar">
    <w:name w:val="Balloon Text Char"/>
    <w:basedOn w:val="DefaultParagraphFont"/>
    <w:link w:val="BalloonText"/>
    <w:uiPriority w:val="99"/>
    <w:semiHidden/>
    <w:rsid w:val="002747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0124387">
      <w:bodyDiv w:val="1"/>
      <w:marLeft w:val="0"/>
      <w:marRight w:val="0"/>
      <w:marTop w:val="0"/>
      <w:marBottom w:val="0"/>
      <w:divBdr>
        <w:top w:val="none" w:sz="0" w:space="0" w:color="auto"/>
        <w:left w:val="none" w:sz="0" w:space="0" w:color="auto"/>
        <w:bottom w:val="none" w:sz="0" w:space="0" w:color="auto"/>
        <w:right w:val="none" w:sz="0" w:space="0" w:color="auto"/>
      </w:divBdr>
      <w:divsChild>
        <w:div w:id="3018763">
          <w:marLeft w:val="0"/>
          <w:marRight w:val="0"/>
          <w:marTop w:val="0"/>
          <w:marBottom w:val="0"/>
          <w:divBdr>
            <w:top w:val="none" w:sz="0" w:space="0" w:color="auto"/>
            <w:left w:val="none" w:sz="0" w:space="0" w:color="auto"/>
            <w:bottom w:val="none" w:sz="0" w:space="0" w:color="auto"/>
            <w:right w:val="none" w:sz="0" w:space="0" w:color="auto"/>
          </w:divBdr>
        </w:div>
        <w:div w:id="1898396804">
          <w:marLeft w:val="0"/>
          <w:marRight w:val="0"/>
          <w:marTop w:val="0"/>
          <w:marBottom w:val="0"/>
          <w:divBdr>
            <w:top w:val="none" w:sz="0" w:space="0" w:color="auto"/>
            <w:left w:val="none" w:sz="0" w:space="0" w:color="auto"/>
            <w:bottom w:val="none" w:sz="0" w:space="0" w:color="auto"/>
            <w:right w:val="none" w:sz="0" w:space="0" w:color="auto"/>
          </w:divBdr>
          <w:divsChild>
            <w:div w:id="2084057306">
              <w:marLeft w:val="0"/>
              <w:marRight w:val="0"/>
              <w:marTop w:val="0"/>
              <w:marBottom w:val="0"/>
              <w:divBdr>
                <w:top w:val="none" w:sz="0" w:space="0" w:color="auto"/>
                <w:left w:val="none" w:sz="0" w:space="0" w:color="auto"/>
                <w:bottom w:val="none" w:sz="0" w:space="0" w:color="auto"/>
                <w:right w:val="none" w:sz="0" w:space="0" w:color="auto"/>
              </w:divBdr>
            </w:div>
            <w:div w:id="582446632">
              <w:marLeft w:val="0"/>
              <w:marRight w:val="0"/>
              <w:marTop w:val="0"/>
              <w:marBottom w:val="0"/>
              <w:divBdr>
                <w:top w:val="none" w:sz="0" w:space="0" w:color="auto"/>
                <w:left w:val="none" w:sz="0" w:space="0" w:color="auto"/>
                <w:bottom w:val="none" w:sz="0" w:space="0" w:color="auto"/>
                <w:right w:val="none" w:sz="0" w:space="0" w:color="auto"/>
              </w:divBdr>
            </w:div>
            <w:div w:id="264265521">
              <w:marLeft w:val="0"/>
              <w:marRight w:val="0"/>
              <w:marTop w:val="0"/>
              <w:marBottom w:val="0"/>
              <w:divBdr>
                <w:top w:val="none" w:sz="0" w:space="0" w:color="auto"/>
                <w:left w:val="none" w:sz="0" w:space="0" w:color="auto"/>
                <w:bottom w:val="none" w:sz="0" w:space="0" w:color="auto"/>
                <w:right w:val="none" w:sz="0" w:space="0" w:color="auto"/>
              </w:divBdr>
            </w:div>
          </w:divsChild>
        </w:div>
        <w:div w:id="561647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6046</Characters>
  <Application>Microsoft Office Word</Application>
  <DocSecurity>0</DocSecurity>
  <Lines>50</Lines>
  <Paragraphs>14</Paragraphs>
  <ScaleCrop>false</ScaleCrop>
  <Company>Grizli777</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2024-03-27T05:18:00Z</dcterms:created>
  <dcterms:modified xsi:type="dcterms:W3CDTF">2024-03-27T05:25:00Z</dcterms:modified>
</cp:coreProperties>
</file>