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094" w:rsidRPr="00CD2094" w:rsidRDefault="00CD2094" w:rsidP="00CD2094">
      <w:pPr>
        <w:spacing w:before="100" w:beforeAutospacing="1" w:afterAutospacing="1" w:line="240" w:lineRule="auto"/>
        <w:outlineLvl w:val="0"/>
        <w:rPr>
          <w:rFonts w:ascii="Times New Roman" w:eastAsia="Times New Roman" w:hAnsi="Times New Roman" w:cs="Times New Roman"/>
          <w:b/>
          <w:bCs/>
          <w:kern w:val="36"/>
          <w:sz w:val="48"/>
          <w:szCs w:val="48"/>
        </w:rPr>
      </w:pPr>
      <w:r w:rsidRPr="00CD2094">
        <w:rPr>
          <w:rFonts w:ascii="Times New Roman" w:eastAsia="Times New Roman" w:hAnsi="Times New Roman" w:cs="Times New Roman"/>
          <w:b/>
          <w:bCs/>
          <w:kern w:val="36"/>
          <w:sz w:val="48"/>
          <w:szCs w:val="48"/>
        </w:rPr>
        <w:t>What’s Fueling the Rise at PSX?</w:t>
      </w:r>
    </w:p>
    <w:p w:rsidR="00CD2094" w:rsidRPr="00CD2094" w:rsidRDefault="00CD2094" w:rsidP="00CD2094">
      <w:pPr>
        <w:spacing w:before="100" w:beforeAutospacing="1" w:afterAutospacing="1" w:line="240" w:lineRule="auto"/>
        <w:rPr>
          <w:rFonts w:ascii="Times New Roman" w:eastAsia="Times New Roman" w:hAnsi="Times New Roman" w:cs="Times New Roman"/>
          <w:szCs w:val="24"/>
        </w:rPr>
      </w:pPr>
      <w:hyperlink r:id="rId4" w:tooltip="More Articles by Ali A. Malik" w:history="1">
        <w:r w:rsidRPr="00CD2094">
          <w:rPr>
            <w:rFonts w:ascii="Times New Roman" w:eastAsia="Times New Roman" w:hAnsi="Times New Roman" w:cs="Times New Roman"/>
            <w:color w:val="0000FF"/>
            <w:szCs w:val="24"/>
            <w:u w:val="single"/>
          </w:rPr>
          <w:t xml:space="preserve">Ali A. </w:t>
        </w:r>
        <w:proofErr w:type="spellStart"/>
        <w:r w:rsidRPr="00CD2094">
          <w:rPr>
            <w:rFonts w:ascii="Times New Roman" w:eastAsia="Times New Roman" w:hAnsi="Times New Roman" w:cs="Times New Roman"/>
            <w:color w:val="0000FF"/>
            <w:szCs w:val="24"/>
            <w:u w:val="single"/>
          </w:rPr>
          <w:t>Malik</w:t>
        </w:r>
        <w:proofErr w:type="spellEnd"/>
      </w:hyperlink>
    </w:p>
    <w:p w:rsidR="00CD2094" w:rsidRPr="00CD2094" w:rsidRDefault="00CD2094" w:rsidP="00CD2094">
      <w:pPr>
        <w:spacing w:before="100" w:beforeAutospacing="1" w:afterAutospacing="1" w:line="240" w:lineRule="auto"/>
        <w:rPr>
          <w:rFonts w:ascii="Times New Roman" w:eastAsia="Times New Roman" w:hAnsi="Times New Roman" w:cs="Times New Roman"/>
          <w:szCs w:val="24"/>
        </w:rPr>
      </w:pPr>
      <w:r w:rsidRPr="00CD2094">
        <w:rPr>
          <w:rFonts w:ascii="Times New Roman" w:eastAsia="Times New Roman" w:hAnsi="Times New Roman" w:cs="Times New Roman"/>
          <w:szCs w:val="24"/>
        </w:rPr>
        <w:t xml:space="preserve">October 29, 2024 </w:t>
      </w:r>
    </w:p>
    <w:p w:rsidR="00CD2094" w:rsidRPr="00CD2094" w:rsidRDefault="00CD2094" w:rsidP="00CD2094">
      <w:pPr>
        <w:spacing w:before="100" w:beforeAutospacing="1" w:afterAutospacing="1" w:line="240" w:lineRule="auto"/>
        <w:rPr>
          <w:rFonts w:ascii="Times New Roman" w:eastAsia="Times New Roman" w:hAnsi="Times New Roman" w:cs="Times New Roman"/>
          <w:szCs w:val="24"/>
        </w:rPr>
      </w:pPr>
      <w:r w:rsidRPr="00CD2094">
        <w:rPr>
          <w:rFonts w:ascii="Times New Roman" w:eastAsia="Times New Roman" w:hAnsi="Times New Roman" w:cs="Times New Roman"/>
          <w:szCs w:val="24"/>
        </w:rPr>
        <w:t>The Pakistan Stock Exchange (PSX) has recently experienced a remarkable surge, with the KSE-100 index surpassing the 90,000-point mark, drawing local and international attention. This milestone has resulted from a combination of positive macroeconomic factors, policy adjustments by the government, and heightened investor sentiment.</w:t>
      </w:r>
    </w:p>
    <w:p w:rsidR="00CD2094" w:rsidRPr="00CD2094" w:rsidRDefault="00CD2094" w:rsidP="00CD2094">
      <w:pPr>
        <w:spacing w:before="100" w:beforeAutospacing="1" w:afterAutospacing="1" w:line="240" w:lineRule="auto"/>
        <w:rPr>
          <w:rFonts w:ascii="Times New Roman" w:eastAsia="Times New Roman" w:hAnsi="Times New Roman" w:cs="Times New Roman"/>
          <w:szCs w:val="24"/>
        </w:rPr>
      </w:pPr>
      <w:r w:rsidRPr="00CD2094">
        <w:rPr>
          <w:rFonts w:ascii="Times New Roman" w:eastAsia="Times New Roman" w:hAnsi="Times New Roman" w:cs="Times New Roman"/>
          <w:szCs w:val="24"/>
        </w:rPr>
        <w:t>The continued upward trend is likely to push the index to the symbolic 100,000 points in the coming weeks or months. This write up will dive deep into the reasons behind this rally, assess current valuations, and provide guidance for investors navigating the PSX’s rapid ascent.</w:t>
      </w:r>
    </w:p>
    <w:p w:rsidR="00CD2094" w:rsidRPr="00CD2094" w:rsidRDefault="00CD2094" w:rsidP="00CD2094">
      <w:pPr>
        <w:spacing w:before="100" w:beforeAutospacing="1" w:afterAutospacing="1" w:line="240" w:lineRule="auto"/>
        <w:rPr>
          <w:rFonts w:ascii="Times New Roman" w:eastAsia="Times New Roman" w:hAnsi="Times New Roman" w:cs="Times New Roman"/>
          <w:szCs w:val="24"/>
        </w:rPr>
      </w:pPr>
      <w:r w:rsidRPr="00CD2094">
        <w:rPr>
          <w:rFonts w:ascii="Times New Roman" w:eastAsia="Times New Roman" w:hAnsi="Times New Roman" w:cs="Times New Roman"/>
          <w:szCs w:val="24"/>
        </w:rPr>
        <w:t>One of the primary drivers of this historic rise in the PSX has been the improvement in Pakistan’s inflation rate, which has gradually decreased from record highs earlier this year. By addressing inflation, the government has not only alleviated the cost burden on consumers but also strengthened corporate revenue across key sectors, which has translated to higher earnings for listed companies.</w:t>
      </w:r>
    </w:p>
    <w:p w:rsidR="00CD2094" w:rsidRPr="00CD2094" w:rsidRDefault="00CD2094" w:rsidP="00CD2094">
      <w:pPr>
        <w:spacing w:before="100" w:beforeAutospacing="1" w:afterAutospacing="1" w:line="240" w:lineRule="auto"/>
        <w:rPr>
          <w:rFonts w:ascii="Times New Roman" w:eastAsia="Times New Roman" w:hAnsi="Times New Roman" w:cs="Times New Roman"/>
          <w:szCs w:val="24"/>
        </w:rPr>
      </w:pPr>
      <w:r w:rsidRPr="00CD2094">
        <w:rPr>
          <w:rFonts w:ascii="Times New Roman" w:eastAsia="Times New Roman" w:hAnsi="Times New Roman" w:cs="Times New Roman"/>
          <w:szCs w:val="24"/>
        </w:rPr>
        <w:t>During the first half of 2024, inflation reached a peak of approximately 38 percent, causing significant pressure on household incomes and corporate costs. However, recent efforts by the State Bank of Pakistan (SBP) and the government to control inflation through fiscal and monetary measures have reduced it to nearly single-digit levels, making Pakistani equities more attractive. This progress has boosted consumer confidence and spending, and the resulting increase in corporate revenues across sectors such as banking, energy, cement, and manufacturing has further supported the bullish trend in the PSX.</w:t>
      </w:r>
    </w:p>
    <w:p w:rsidR="00CD2094" w:rsidRPr="00CD2094" w:rsidRDefault="00CD2094" w:rsidP="00CD2094">
      <w:pPr>
        <w:spacing w:beforeAutospacing="1" w:afterAutospacing="1" w:line="240" w:lineRule="auto"/>
        <w:rPr>
          <w:rFonts w:ascii="Times New Roman" w:eastAsia="Times New Roman" w:hAnsi="Times New Roman" w:cs="Times New Roman"/>
          <w:szCs w:val="24"/>
        </w:rPr>
      </w:pPr>
      <w:r w:rsidRPr="00CD2094">
        <w:rPr>
          <w:rFonts w:ascii="Times New Roman" w:eastAsia="Times New Roman" w:hAnsi="Times New Roman" w:cs="Times New Roman"/>
          <w:szCs w:val="24"/>
        </w:rPr>
        <w:t>With the successful implementation of reforms, the Pakistan Stock Exchange became an attractive destination for both domestic and foreign investors.</w:t>
      </w:r>
    </w:p>
    <w:p w:rsidR="00CD2094" w:rsidRPr="00CD2094" w:rsidRDefault="00CD2094" w:rsidP="00CD2094">
      <w:pPr>
        <w:spacing w:before="100" w:beforeAutospacing="1" w:afterAutospacing="1" w:line="240" w:lineRule="auto"/>
        <w:rPr>
          <w:rFonts w:ascii="Times New Roman" w:eastAsia="Times New Roman" w:hAnsi="Times New Roman" w:cs="Times New Roman"/>
          <w:szCs w:val="24"/>
        </w:rPr>
      </w:pPr>
      <w:r w:rsidRPr="00CD2094">
        <w:rPr>
          <w:rFonts w:ascii="Times New Roman" w:eastAsia="Times New Roman" w:hAnsi="Times New Roman" w:cs="Times New Roman"/>
          <w:szCs w:val="24"/>
        </w:rPr>
        <w:t xml:space="preserve">In addition to reduced inflation, the SBP’s recent decisions to lower interest rates have fueled equity market growth. Earlier in 2024, the central bank embarked on a path to reduce its policy rate, which had been raised previously to combat high inflation. With inflation stabilizing, the SBP cut rates from 22 percent to 17.5 percent, making it cheaper for businesses to borrow capital for expansion and encouraging greater investment. Lower borrowing costs also benefit consumers, who can access credit more </w:t>
      </w:r>
      <w:proofErr w:type="gramStart"/>
      <w:r w:rsidRPr="00CD2094">
        <w:rPr>
          <w:rFonts w:ascii="Times New Roman" w:eastAsia="Times New Roman" w:hAnsi="Times New Roman" w:cs="Times New Roman"/>
          <w:szCs w:val="24"/>
        </w:rPr>
        <w:t>easily,</w:t>
      </w:r>
      <w:proofErr w:type="gramEnd"/>
      <w:r w:rsidRPr="00CD2094">
        <w:rPr>
          <w:rFonts w:ascii="Times New Roman" w:eastAsia="Times New Roman" w:hAnsi="Times New Roman" w:cs="Times New Roman"/>
          <w:szCs w:val="24"/>
        </w:rPr>
        <w:t xml:space="preserve"> resulting in higher spending that contributes to corporate growth and profitability. This drop in interest rates has made fixed-income investments relatively less attractive, leading many investors to redirect funds into the equity market, where </w:t>
      </w:r>
      <w:r w:rsidRPr="00CD2094">
        <w:rPr>
          <w:rFonts w:ascii="Times New Roman" w:eastAsia="Times New Roman" w:hAnsi="Times New Roman" w:cs="Times New Roman"/>
          <w:szCs w:val="24"/>
        </w:rPr>
        <w:lastRenderedPageBreak/>
        <w:t>the potential for returns is currently much higher. The shift from bonds and other low-yield instruments to equities is a notable trend, as investors seek to maximize their returns in a favorable economic environment.</w:t>
      </w:r>
    </w:p>
    <w:p w:rsidR="00CD2094" w:rsidRPr="00CD2094" w:rsidRDefault="00CD2094" w:rsidP="00CD2094">
      <w:pPr>
        <w:spacing w:before="100" w:beforeAutospacing="1" w:afterAutospacing="1" w:line="240" w:lineRule="auto"/>
        <w:rPr>
          <w:rFonts w:ascii="Times New Roman" w:eastAsia="Times New Roman" w:hAnsi="Times New Roman" w:cs="Times New Roman"/>
          <w:szCs w:val="24"/>
        </w:rPr>
      </w:pPr>
      <w:r w:rsidRPr="00CD2094">
        <w:rPr>
          <w:rFonts w:ascii="Times New Roman" w:eastAsia="Times New Roman" w:hAnsi="Times New Roman" w:cs="Times New Roman"/>
          <w:szCs w:val="24"/>
        </w:rPr>
        <w:t>Government initiatives have also contributed significantly to the upward momentum of the PSX. The successful completion of Pakistan’s Extended Fund Facility (EFF) agreement with the International Monetary Fund (IMF) in 2024 provided a strong foundation for economic stability. This program, which secured over $7 billion in financial support, was critical in managing Pakistan’s debt obligations, stabilizing the currency, and providing a buffer against external shocks. As part of the IMF package, the government committed to a series of structural reforms, including digitalization of the tax collection system and fiscal consolidation, which increased transparency and investor confidence. With the successful implementation of these reforms, the PSX became an attractive destination for both domestic and foreign investors looking for stability and growth in an emerging market.</w:t>
      </w:r>
    </w:p>
    <w:p w:rsidR="00CD2094" w:rsidRPr="00CD2094" w:rsidRDefault="00CD2094" w:rsidP="00CD2094">
      <w:pPr>
        <w:spacing w:before="100" w:beforeAutospacing="1" w:afterAutospacing="1" w:line="240" w:lineRule="auto"/>
        <w:rPr>
          <w:rFonts w:ascii="Times New Roman" w:eastAsia="Times New Roman" w:hAnsi="Times New Roman" w:cs="Times New Roman"/>
          <w:szCs w:val="24"/>
        </w:rPr>
      </w:pPr>
      <w:r w:rsidRPr="00CD2094">
        <w:rPr>
          <w:rFonts w:ascii="Times New Roman" w:eastAsia="Times New Roman" w:hAnsi="Times New Roman" w:cs="Times New Roman"/>
          <w:szCs w:val="24"/>
        </w:rPr>
        <w:t>Another crucial factor bolstering the PSX rally has been the significant inflow of foreign capital, marking the highest level of foreign investment in over a decade. Foreign investors have injected approximately $87 million into the PSX, driven by Pakistan’s relatively low valuations and the growing appeal of emerging markets. Additionally, anticipated rate cuts by the U.S. Federal Reserve are expected to divert capital flows toward high-growth markets like Pakistan, further enhancing the attractiveness of the PSX. The surge in foreign interest, along with robust local participation, has created liquidity in the market, enabling the PSX to reach unprecedented heights.</w:t>
      </w:r>
    </w:p>
    <w:p w:rsidR="00CD2094" w:rsidRPr="00CD2094" w:rsidRDefault="00CD2094" w:rsidP="00CD2094">
      <w:pPr>
        <w:spacing w:before="100" w:beforeAutospacing="1" w:afterAutospacing="1" w:line="240" w:lineRule="auto"/>
        <w:rPr>
          <w:rFonts w:ascii="Times New Roman" w:eastAsia="Times New Roman" w:hAnsi="Times New Roman" w:cs="Times New Roman"/>
          <w:szCs w:val="24"/>
        </w:rPr>
      </w:pPr>
      <w:r w:rsidRPr="00CD2094">
        <w:rPr>
          <w:rFonts w:ascii="Times New Roman" w:eastAsia="Times New Roman" w:hAnsi="Times New Roman" w:cs="Times New Roman"/>
          <w:szCs w:val="24"/>
        </w:rPr>
        <w:t>The government’s foreign policy and successful diplomatic initiatives have also played a vital role in supporting the market’s growth. Pakistan’s hosting of the Shanghai Cooperation Organization (SCO) summit in Islamabad earlier this month positioned the country as a critical player in regional trade and security cooperation. This event, which saw high-level representation from China, Russia, and Central Asian nations, highlighted Pakistan’s commitment to fostering regional stability and economic integration. The SCO summit was an opportunity for Pakistan to strengthen economic ties with its regional partners, leading to new agreements, particularly with China, to expand the China-Pakistan Economic Corridor (CPEC). These agreements are expected to channel investments into infrastructure, energy, and logistics projects, creating an optimistic outlook for key sectors on the PSX.</w:t>
      </w:r>
    </w:p>
    <w:p w:rsidR="00CD2094" w:rsidRPr="00CD2094" w:rsidRDefault="00CD2094" w:rsidP="00CD2094">
      <w:pPr>
        <w:spacing w:before="100" w:beforeAutospacing="1" w:afterAutospacing="1" w:line="240" w:lineRule="auto"/>
        <w:rPr>
          <w:rFonts w:ascii="Times New Roman" w:eastAsia="Times New Roman" w:hAnsi="Times New Roman" w:cs="Times New Roman"/>
          <w:szCs w:val="24"/>
        </w:rPr>
      </w:pPr>
      <w:r w:rsidRPr="00CD2094">
        <w:rPr>
          <w:rFonts w:ascii="Times New Roman" w:eastAsia="Times New Roman" w:hAnsi="Times New Roman" w:cs="Times New Roman"/>
          <w:szCs w:val="24"/>
        </w:rPr>
        <w:t xml:space="preserve">The Pakistan-China partnership, in particular, has been instrumental in driving </w:t>
      </w:r>
      <w:proofErr w:type="spellStart"/>
      <w:r w:rsidRPr="00CD2094">
        <w:rPr>
          <w:rFonts w:ascii="Times New Roman" w:eastAsia="Times New Roman" w:hAnsi="Times New Roman" w:cs="Times New Roman"/>
          <w:szCs w:val="24"/>
        </w:rPr>
        <w:t>sectoral</w:t>
      </w:r>
      <w:proofErr w:type="spellEnd"/>
      <w:r w:rsidRPr="00CD2094">
        <w:rPr>
          <w:rFonts w:ascii="Times New Roman" w:eastAsia="Times New Roman" w:hAnsi="Times New Roman" w:cs="Times New Roman"/>
          <w:szCs w:val="24"/>
        </w:rPr>
        <w:t xml:space="preserve"> growth within the PSX. During the SCO summit, China reaffirmed its commitment to CPEC with additional infrastructure investments, including the development of </w:t>
      </w:r>
      <w:proofErr w:type="spellStart"/>
      <w:r w:rsidRPr="00CD2094">
        <w:rPr>
          <w:rFonts w:ascii="Times New Roman" w:eastAsia="Times New Roman" w:hAnsi="Times New Roman" w:cs="Times New Roman"/>
          <w:szCs w:val="24"/>
        </w:rPr>
        <w:t>Gwadar</w:t>
      </w:r>
      <w:proofErr w:type="spellEnd"/>
      <w:r w:rsidRPr="00CD2094">
        <w:rPr>
          <w:rFonts w:ascii="Times New Roman" w:eastAsia="Times New Roman" w:hAnsi="Times New Roman" w:cs="Times New Roman"/>
          <w:szCs w:val="24"/>
        </w:rPr>
        <w:t xml:space="preserve"> International Airport. This airport is set to transform </w:t>
      </w:r>
      <w:proofErr w:type="spellStart"/>
      <w:r w:rsidRPr="00CD2094">
        <w:rPr>
          <w:rFonts w:ascii="Times New Roman" w:eastAsia="Times New Roman" w:hAnsi="Times New Roman" w:cs="Times New Roman"/>
          <w:szCs w:val="24"/>
        </w:rPr>
        <w:t>Gwadar</w:t>
      </w:r>
      <w:proofErr w:type="spellEnd"/>
      <w:r w:rsidRPr="00CD2094">
        <w:rPr>
          <w:rFonts w:ascii="Times New Roman" w:eastAsia="Times New Roman" w:hAnsi="Times New Roman" w:cs="Times New Roman"/>
          <w:szCs w:val="24"/>
        </w:rPr>
        <w:t xml:space="preserve"> into a major trade hub, enhancing Pakistan’s connectivity with international markets.</w:t>
      </w:r>
    </w:p>
    <w:p w:rsidR="00CD2094" w:rsidRPr="00CD2094" w:rsidRDefault="00CD2094" w:rsidP="00CD2094">
      <w:pPr>
        <w:spacing w:before="100" w:beforeAutospacing="1" w:afterAutospacing="1" w:line="240" w:lineRule="auto"/>
        <w:rPr>
          <w:rFonts w:ascii="Times New Roman" w:eastAsia="Times New Roman" w:hAnsi="Times New Roman" w:cs="Times New Roman"/>
          <w:szCs w:val="24"/>
        </w:rPr>
      </w:pPr>
      <w:r w:rsidRPr="00CD2094">
        <w:rPr>
          <w:rFonts w:ascii="Times New Roman" w:eastAsia="Times New Roman" w:hAnsi="Times New Roman" w:cs="Times New Roman"/>
          <w:szCs w:val="24"/>
        </w:rPr>
        <w:lastRenderedPageBreak/>
        <w:t xml:space="preserve">The growing alignment with China on CPEC initiatives has bolstered investor confidence, especially in industries like cement, steel, long chases manufacturing, </w:t>
      </w:r>
      <w:proofErr w:type="spellStart"/>
      <w:r w:rsidRPr="00CD2094">
        <w:rPr>
          <w:rFonts w:ascii="Times New Roman" w:eastAsia="Times New Roman" w:hAnsi="Times New Roman" w:cs="Times New Roman"/>
          <w:szCs w:val="24"/>
        </w:rPr>
        <w:t>tyres</w:t>
      </w:r>
      <w:proofErr w:type="spellEnd"/>
      <w:r w:rsidRPr="00CD2094">
        <w:rPr>
          <w:rFonts w:ascii="Times New Roman" w:eastAsia="Times New Roman" w:hAnsi="Times New Roman" w:cs="Times New Roman"/>
          <w:szCs w:val="24"/>
        </w:rPr>
        <w:t>, energy, and logistics, all of which are well-represented on the PSX. The government’s success in securing foreign investments, especially from Gulf countries, has further strengthened Pakistan’s financial position. Saudi Arabia and the UAE have committed to investments across energy and agricultural sectors, which are crucial for Pakistan’s long-term stability. This influx of foreign capital has not only provided immediate financial relief but has also fostered a positive outlook for Pakistan’s economic future.</w:t>
      </w:r>
    </w:p>
    <w:p w:rsidR="00CD2094" w:rsidRPr="00CD2094" w:rsidRDefault="00CD2094" w:rsidP="00CD2094">
      <w:pPr>
        <w:spacing w:before="100" w:beforeAutospacing="1" w:afterAutospacing="1" w:line="240" w:lineRule="auto"/>
        <w:rPr>
          <w:rFonts w:ascii="Times New Roman" w:eastAsia="Times New Roman" w:hAnsi="Times New Roman" w:cs="Times New Roman"/>
          <w:szCs w:val="24"/>
        </w:rPr>
      </w:pPr>
      <w:r w:rsidRPr="00CD2094">
        <w:rPr>
          <w:rFonts w:ascii="Times New Roman" w:eastAsia="Times New Roman" w:hAnsi="Times New Roman" w:cs="Times New Roman"/>
          <w:szCs w:val="24"/>
        </w:rPr>
        <w:t>Amidst the positive developments, some investors may question whether the current valuations on the PSX are justified or whether the market has become overvalued. Valuations in some sectors have indeed risen sharply, as the PSX has recorded gains in several high-growth areas. Sectors such as banking, energy, and consumer goods have shown particularly strong performance, driven by improved profitability and lower financing costs. However, analysts suggest that certain sectors, such as energy and infrastructure, may still offer reasonable value given the long-term growth prospects and government-backed projects that are set to drive demand.</w:t>
      </w:r>
    </w:p>
    <w:p w:rsidR="00CD2094" w:rsidRPr="00CD2094" w:rsidRDefault="00CD2094" w:rsidP="00CD2094">
      <w:pPr>
        <w:spacing w:before="100" w:beforeAutospacing="1" w:afterAutospacing="1" w:line="240" w:lineRule="auto"/>
        <w:rPr>
          <w:rFonts w:ascii="Times New Roman" w:eastAsia="Times New Roman" w:hAnsi="Times New Roman" w:cs="Times New Roman"/>
          <w:szCs w:val="24"/>
        </w:rPr>
      </w:pPr>
      <w:r w:rsidRPr="00CD2094">
        <w:rPr>
          <w:rFonts w:ascii="Times New Roman" w:eastAsia="Times New Roman" w:hAnsi="Times New Roman" w:cs="Times New Roman"/>
          <w:szCs w:val="24"/>
        </w:rPr>
        <w:t xml:space="preserve">A diversified investment strategy can be beneficial for those seeking to maximize returns while managing risk. By spreading investments across various sectors, investors can mitigate the impact of volatility in any single industry. Additionally, considering global market conditions, particularly trends in emerging markets and anticipated changes in U.S. monetary </w:t>
      </w:r>
      <w:proofErr w:type="gramStart"/>
      <w:r w:rsidRPr="00CD2094">
        <w:rPr>
          <w:rFonts w:ascii="Times New Roman" w:eastAsia="Times New Roman" w:hAnsi="Times New Roman" w:cs="Times New Roman"/>
          <w:szCs w:val="24"/>
        </w:rPr>
        <w:t>policy,</w:t>
      </w:r>
      <w:proofErr w:type="gramEnd"/>
      <w:r w:rsidRPr="00CD2094">
        <w:rPr>
          <w:rFonts w:ascii="Times New Roman" w:eastAsia="Times New Roman" w:hAnsi="Times New Roman" w:cs="Times New Roman"/>
          <w:szCs w:val="24"/>
        </w:rPr>
        <w:t xml:space="preserve"> can help investors make informed decisions about their exposure to Pakistani equities.</w:t>
      </w:r>
    </w:p>
    <w:p w:rsidR="00CD2094" w:rsidRPr="00CD2094" w:rsidRDefault="00CD2094" w:rsidP="00CD2094">
      <w:pPr>
        <w:spacing w:before="100" w:beforeAutospacing="1" w:afterAutospacing="1" w:line="240" w:lineRule="auto"/>
        <w:rPr>
          <w:rFonts w:ascii="Times New Roman" w:eastAsia="Times New Roman" w:hAnsi="Times New Roman" w:cs="Times New Roman"/>
          <w:szCs w:val="24"/>
        </w:rPr>
      </w:pPr>
      <w:r w:rsidRPr="00CD2094">
        <w:rPr>
          <w:rFonts w:ascii="Times New Roman" w:eastAsia="Times New Roman" w:hAnsi="Times New Roman" w:cs="Times New Roman"/>
          <w:szCs w:val="24"/>
        </w:rPr>
        <w:t>In conclusion, the PSX’s unprecedented rise to over 90,000 points is a reflection of multiple positive factors, including reduced inflation, lower interest rates, substantial foreign capital inflows, and a supportive policy environment. The easing of inflation and declining interest rates have created a favorable economic backdrop that has boosted corporate profitability and investor confidence. Furthermore, government initiatives to secure international investments, along with successful diplomacy, have strengthened Pakistan’s financial position and enhanced its role in regional economic integration. These factors, combined with local and foreign investor interest, have driven the PSX to historic highs, with expectations of further growth.</w:t>
      </w:r>
    </w:p>
    <w:p w:rsidR="00CD2094" w:rsidRPr="00CD2094" w:rsidRDefault="00CD2094" w:rsidP="00CD2094">
      <w:pPr>
        <w:spacing w:before="100" w:beforeAutospacing="1" w:afterAutospacing="1" w:line="240" w:lineRule="auto"/>
        <w:rPr>
          <w:rFonts w:ascii="Times New Roman" w:eastAsia="Times New Roman" w:hAnsi="Times New Roman" w:cs="Times New Roman"/>
          <w:szCs w:val="24"/>
        </w:rPr>
      </w:pPr>
      <w:r w:rsidRPr="00CD2094">
        <w:rPr>
          <w:rFonts w:ascii="Times New Roman" w:eastAsia="Times New Roman" w:hAnsi="Times New Roman" w:cs="Times New Roman"/>
          <w:szCs w:val="24"/>
        </w:rPr>
        <w:t>For investors, the current market presents both opportunities and challenges. While the upward trajectory of the PSX suggests promising returns, cautious investment and a diversified approach are advisable to navigate potential market corrections. Considering sector-specific fundamentals, aligning with growth industries such as energy and infrastructure, and monitoring global economic trends are key strategies for making the most of the PSX’s historic rally.</w:t>
      </w:r>
    </w:p>
    <w:p w:rsidR="00CD2094" w:rsidRPr="00CD2094" w:rsidRDefault="00CD2094" w:rsidP="00CD2094">
      <w:pPr>
        <w:spacing w:before="100" w:beforeAutospacing="1" w:afterAutospacing="1" w:line="240" w:lineRule="auto"/>
        <w:rPr>
          <w:rFonts w:ascii="Times New Roman" w:eastAsia="Times New Roman" w:hAnsi="Times New Roman" w:cs="Times New Roman"/>
          <w:szCs w:val="24"/>
        </w:rPr>
      </w:pPr>
      <w:r w:rsidRPr="00CD2094">
        <w:rPr>
          <w:rFonts w:ascii="Times New Roman" w:eastAsia="Times New Roman" w:hAnsi="Times New Roman" w:cs="Times New Roman"/>
          <w:i/>
          <w:iCs/>
          <w:szCs w:val="24"/>
        </w:rPr>
        <w:t>The writer can be reached at: alimalikfne@gmail.com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CD2094"/>
    <w:rsid w:val="00075954"/>
    <w:rsid w:val="000F3610"/>
    <w:rsid w:val="0014112E"/>
    <w:rsid w:val="0018508C"/>
    <w:rsid w:val="001D21CD"/>
    <w:rsid w:val="00240259"/>
    <w:rsid w:val="002F5C52"/>
    <w:rsid w:val="003256B7"/>
    <w:rsid w:val="0036064A"/>
    <w:rsid w:val="00383BB2"/>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CD2094"/>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CD2094"/>
    <w:rPr>
      <w:color w:val="0000FF"/>
      <w:u w:val="single"/>
    </w:rPr>
  </w:style>
  <w:style w:type="paragraph" w:customStyle="1" w:styleId="author-links">
    <w:name w:val="author-links"/>
    <w:basedOn w:val="Normal"/>
    <w:rsid w:val="00CD2094"/>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CD2094"/>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CD2094"/>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587547309">
      <w:bodyDiv w:val="1"/>
      <w:marLeft w:val="0"/>
      <w:marRight w:val="0"/>
      <w:marTop w:val="0"/>
      <w:marBottom w:val="0"/>
      <w:divBdr>
        <w:top w:val="none" w:sz="0" w:space="0" w:color="auto"/>
        <w:left w:val="none" w:sz="0" w:space="0" w:color="auto"/>
        <w:bottom w:val="none" w:sz="0" w:space="0" w:color="auto"/>
        <w:right w:val="none" w:sz="0" w:space="0" w:color="auto"/>
      </w:divBdr>
      <w:divsChild>
        <w:div w:id="1347098001">
          <w:marLeft w:val="0"/>
          <w:marRight w:val="0"/>
          <w:marTop w:val="0"/>
          <w:marBottom w:val="0"/>
          <w:divBdr>
            <w:top w:val="none" w:sz="0" w:space="0" w:color="auto"/>
            <w:left w:val="none" w:sz="0" w:space="0" w:color="auto"/>
            <w:bottom w:val="none" w:sz="0" w:space="0" w:color="auto"/>
            <w:right w:val="none" w:sz="0" w:space="0" w:color="auto"/>
          </w:divBdr>
          <w:divsChild>
            <w:div w:id="1235555495">
              <w:marLeft w:val="0"/>
              <w:marRight w:val="0"/>
              <w:marTop w:val="0"/>
              <w:marBottom w:val="0"/>
              <w:divBdr>
                <w:top w:val="none" w:sz="0" w:space="0" w:color="auto"/>
                <w:left w:val="none" w:sz="0" w:space="0" w:color="auto"/>
                <w:bottom w:val="none" w:sz="0" w:space="0" w:color="auto"/>
                <w:right w:val="none" w:sz="0" w:space="0" w:color="auto"/>
              </w:divBdr>
              <w:divsChild>
                <w:div w:id="1931809295">
                  <w:marLeft w:val="0"/>
                  <w:marRight w:val="0"/>
                  <w:marTop w:val="0"/>
                  <w:marBottom w:val="0"/>
                  <w:divBdr>
                    <w:top w:val="none" w:sz="0" w:space="0" w:color="auto"/>
                    <w:left w:val="none" w:sz="0" w:space="0" w:color="auto"/>
                    <w:bottom w:val="none" w:sz="0" w:space="0" w:color="auto"/>
                    <w:right w:val="none" w:sz="0" w:space="0" w:color="auto"/>
                  </w:divBdr>
                  <w:divsChild>
                    <w:div w:id="901671002">
                      <w:marLeft w:val="0"/>
                      <w:marRight w:val="0"/>
                      <w:marTop w:val="0"/>
                      <w:marBottom w:val="0"/>
                      <w:divBdr>
                        <w:top w:val="none" w:sz="0" w:space="0" w:color="auto"/>
                        <w:left w:val="none" w:sz="0" w:space="0" w:color="auto"/>
                        <w:bottom w:val="none" w:sz="0" w:space="0" w:color="auto"/>
                        <w:right w:val="none" w:sz="0" w:space="0" w:color="auto"/>
                      </w:divBdr>
                      <w:divsChild>
                        <w:div w:id="619142856">
                          <w:marLeft w:val="0"/>
                          <w:marRight w:val="0"/>
                          <w:marTop w:val="0"/>
                          <w:marBottom w:val="0"/>
                          <w:divBdr>
                            <w:top w:val="none" w:sz="0" w:space="0" w:color="auto"/>
                            <w:left w:val="none" w:sz="0" w:space="0" w:color="auto"/>
                            <w:bottom w:val="none" w:sz="0" w:space="0" w:color="auto"/>
                            <w:right w:val="none" w:sz="0" w:space="0" w:color="auto"/>
                          </w:divBdr>
                          <w:divsChild>
                            <w:div w:id="582639784">
                              <w:marLeft w:val="0"/>
                              <w:marRight w:val="0"/>
                              <w:marTop w:val="0"/>
                              <w:marBottom w:val="0"/>
                              <w:divBdr>
                                <w:top w:val="none" w:sz="0" w:space="0" w:color="auto"/>
                                <w:left w:val="none" w:sz="0" w:space="0" w:color="auto"/>
                                <w:bottom w:val="none" w:sz="0" w:space="0" w:color="auto"/>
                                <w:right w:val="none" w:sz="0" w:space="0" w:color="auto"/>
                              </w:divBdr>
                              <w:divsChild>
                                <w:div w:id="1252200707">
                                  <w:marLeft w:val="0"/>
                                  <w:marRight w:val="0"/>
                                  <w:marTop w:val="0"/>
                                  <w:marBottom w:val="0"/>
                                  <w:divBdr>
                                    <w:top w:val="none" w:sz="0" w:space="0" w:color="auto"/>
                                    <w:left w:val="none" w:sz="0" w:space="0" w:color="auto"/>
                                    <w:bottom w:val="none" w:sz="0" w:space="0" w:color="auto"/>
                                    <w:right w:val="none" w:sz="0" w:space="0" w:color="auto"/>
                                  </w:divBdr>
                                  <w:divsChild>
                                    <w:div w:id="440534008">
                                      <w:marLeft w:val="0"/>
                                      <w:marRight w:val="0"/>
                                      <w:marTop w:val="0"/>
                                      <w:marBottom w:val="0"/>
                                      <w:divBdr>
                                        <w:top w:val="none" w:sz="0" w:space="0" w:color="auto"/>
                                        <w:left w:val="none" w:sz="0" w:space="0" w:color="auto"/>
                                        <w:bottom w:val="none" w:sz="0" w:space="0" w:color="auto"/>
                                        <w:right w:val="none" w:sz="0" w:space="0" w:color="auto"/>
                                      </w:divBdr>
                                    </w:div>
                                    <w:div w:id="135627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4903683">
          <w:marLeft w:val="0"/>
          <w:marRight w:val="0"/>
          <w:marTop w:val="0"/>
          <w:marBottom w:val="0"/>
          <w:divBdr>
            <w:top w:val="none" w:sz="0" w:space="0" w:color="auto"/>
            <w:left w:val="none" w:sz="0" w:space="0" w:color="auto"/>
            <w:bottom w:val="none" w:sz="0" w:space="0" w:color="auto"/>
            <w:right w:val="none" w:sz="0" w:space="0" w:color="auto"/>
          </w:divBdr>
          <w:divsChild>
            <w:div w:id="1061055838">
              <w:marLeft w:val="0"/>
              <w:marRight w:val="0"/>
              <w:marTop w:val="0"/>
              <w:marBottom w:val="0"/>
              <w:divBdr>
                <w:top w:val="none" w:sz="0" w:space="0" w:color="auto"/>
                <w:left w:val="none" w:sz="0" w:space="0" w:color="auto"/>
                <w:bottom w:val="none" w:sz="0" w:space="0" w:color="auto"/>
                <w:right w:val="none" w:sz="0" w:space="0" w:color="auto"/>
              </w:divBdr>
              <w:divsChild>
                <w:div w:id="1635670481">
                  <w:marLeft w:val="0"/>
                  <w:marRight w:val="0"/>
                  <w:marTop w:val="0"/>
                  <w:marBottom w:val="0"/>
                  <w:divBdr>
                    <w:top w:val="none" w:sz="0" w:space="0" w:color="auto"/>
                    <w:left w:val="none" w:sz="0" w:space="0" w:color="auto"/>
                    <w:bottom w:val="none" w:sz="0" w:space="0" w:color="auto"/>
                    <w:right w:val="none" w:sz="0" w:space="0" w:color="auto"/>
                  </w:divBdr>
                  <w:divsChild>
                    <w:div w:id="17733559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ali-a-mal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1317</Words>
  <Characters>7507</Characters>
  <Application>Microsoft Office Word</Application>
  <DocSecurity>0</DocSecurity>
  <Lines>62</Lines>
  <Paragraphs>17</Paragraphs>
  <ScaleCrop>false</ScaleCrop>
  <Company>Grizli777</Company>
  <LinksUpToDate>false</LinksUpToDate>
  <CharactersWithSpaces>8807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2024-11-14T05:15:00Z</dcterms:created>
  <dcterms:modified xsi:type="dcterms:W3CDTF">2024-11-14T05:17:00Z</dcterms:modified>
</cp:coreProperties>
</file>