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D80" w:rsidRPr="003F6D80" w:rsidRDefault="003F6D80" w:rsidP="003F6D80">
      <w:pPr>
        <w:rPr>
          <w:rFonts w:asciiTheme="majorBidi" w:hAnsiTheme="majorBidi" w:cstheme="majorBidi"/>
          <w:b/>
          <w:bCs/>
          <w:sz w:val="36"/>
          <w:szCs w:val="36"/>
        </w:rPr>
      </w:pPr>
      <w:r w:rsidRPr="003F6D80">
        <w:rPr>
          <w:rFonts w:asciiTheme="majorBidi" w:hAnsiTheme="majorBidi" w:cstheme="majorBidi"/>
          <w:b/>
          <w:bCs/>
          <w:sz w:val="36"/>
          <w:szCs w:val="36"/>
        </w:rPr>
        <w:t>Teach for Pakistan</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For years of sputtering into crisis, a strategic plan, action, and strategy has emerged recently to fill the vacuum left by systemic negligence.</w:t>
      </w:r>
    </w:p>
    <w:p w:rsidR="003F6D80" w:rsidRPr="003F6D80" w:rsidRDefault="003F6D80" w:rsidP="003F6D80">
      <w:pPr>
        <w:rPr>
          <w:rFonts w:asciiTheme="majorBidi" w:hAnsiTheme="majorBidi" w:cstheme="majorBidi"/>
          <w:sz w:val="24"/>
          <w:szCs w:val="24"/>
        </w:rPr>
      </w:pPr>
      <w:proofErr w:type="spellStart"/>
      <w:r w:rsidRPr="003F6D80">
        <w:rPr>
          <w:rFonts w:asciiTheme="majorBidi" w:hAnsiTheme="majorBidi" w:cstheme="majorBidi"/>
          <w:sz w:val="24"/>
          <w:szCs w:val="24"/>
        </w:rPr>
        <w:t>Maqsood</w:t>
      </w:r>
      <w:proofErr w:type="spellEnd"/>
      <w:r w:rsidRPr="003F6D80">
        <w:rPr>
          <w:rFonts w:asciiTheme="majorBidi" w:hAnsiTheme="majorBidi" w:cstheme="majorBidi"/>
          <w:sz w:val="24"/>
          <w:szCs w:val="24"/>
        </w:rPr>
        <w:t xml:space="preserve"> Hussain</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December 18, 2025</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 “Everything that is not forbidden by the laws of nature is achievable, given the right knowledge.”</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David Deutsch, </w:t>
      </w:r>
      <w:proofErr w:type="gramStart"/>
      <w:r w:rsidRPr="003F6D80">
        <w:rPr>
          <w:rFonts w:asciiTheme="majorBidi" w:hAnsiTheme="majorBidi" w:cstheme="majorBidi"/>
          <w:sz w:val="24"/>
          <w:szCs w:val="24"/>
        </w:rPr>
        <w:t>The</w:t>
      </w:r>
      <w:proofErr w:type="gramEnd"/>
      <w:r w:rsidRPr="003F6D80">
        <w:rPr>
          <w:rFonts w:asciiTheme="majorBidi" w:hAnsiTheme="majorBidi" w:cstheme="majorBidi"/>
          <w:sz w:val="24"/>
          <w:szCs w:val="24"/>
        </w:rPr>
        <w:t xml:space="preserve"> Beginning of Infinity: Explanations That Transform the World</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David is right here, but it needs a few resources in the process, most importantly among others is human resource. Yet it is not a worrisome thing; the dose of good news is that in a world where ageing has become a problem for developed nations, we have a stunning edge. Nearly 67% of our population is under 30. This demographic capacity provides a policy choice: either transform them and push the lever of the nation towards prosperity, or leave them unheeded as a hefty burden that entrenches instability. “The classroom decides the future of the country” is a well-praised line, but what has been done for it remains conspicuous.</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Recent data shows the current state of this frontline. The 2023 District Education Performance Index (</w:t>
      </w:r>
      <w:proofErr w:type="spellStart"/>
      <w:r w:rsidRPr="003F6D80">
        <w:rPr>
          <w:rFonts w:asciiTheme="majorBidi" w:hAnsiTheme="majorBidi" w:cstheme="majorBidi"/>
          <w:sz w:val="24"/>
          <w:szCs w:val="24"/>
        </w:rPr>
        <w:t>DEPIx</w:t>
      </w:r>
      <w:proofErr w:type="spellEnd"/>
      <w:r w:rsidRPr="003F6D80">
        <w:rPr>
          <w:rFonts w:asciiTheme="majorBidi" w:hAnsiTheme="majorBidi" w:cstheme="majorBidi"/>
          <w:sz w:val="24"/>
          <w:szCs w:val="24"/>
        </w:rPr>
        <w:t xml:space="preserve">) report statistically tells that Pakistan’s national education performance scores a low 53.46 out of 100. The critical “Learning” domain is in intensive care, reflecting what the Annual Status of Education Report (ASER) 2023 has already revealed in stark, human terms. Only 51% of Class 5 children in Pakistan can read a simple story in Urdu or Sindhi; a mere 56% can read Class 2-level English sentences. In arithmetic, the figures are even more alarming. This is not a learning crisis; it is a catastrophic failure of the system, one that the </w:t>
      </w:r>
      <w:proofErr w:type="spellStart"/>
      <w:r w:rsidRPr="003F6D80">
        <w:rPr>
          <w:rFonts w:asciiTheme="majorBidi" w:hAnsiTheme="majorBidi" w:cstheme="majorBidi"/>
          <w:sz w:val="24"/>
          <w:szCs w:val="24"/>
        </w:rPr>
        <w:t>DEPIx</w:t>
      </w:r>
      <w:proofErr w:type="spellEnd"/>
      <w:r w:rsidRPr="003F6D80">
        <w:rPr>
          <w:rFonts w:asciiTheme="majorBidi" w:hAnsiTheme="majorBidi" w:cstheme="majorBidi"/>
          <w:sz w:val="24"/>
          <w:szCs w:val="24"/>
        </w:rPr>
        <w:t xml:space="preserve"> confirms is marred by inadequate public financing, weak governance, and profound inter- and intra-provincial inequities.</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For years of sputtering into crisis, a strategic plan, action, and strategy has emerged recently to fill the vacuum left by systemic negligence. Teach </w:t>
      </w:r>
      <w:proofErr w:type="gramStart"/>
      <w:r w:rsidRPr="003F6D80">
        <w:rPr>
          <w:rFonts w:asciiTheme="majorBidi" w:hAnsiTheme="majorBidi" w:cstheme="majorBidi"/>
          <w:sz w:val="24"/>
          <w:szCs w:val="24"/>
        </w:rPr>
        <w:t>For</w:t>
      </w:r>
      <w:proofErr w:type="gramEnd"/>
      <w:r w:rsidRPr="003F6D80">
        <w:rPr>
          <w:rFonts w:asciiTheme="majorBidi" w:hAnsiTheme="majorBidi" w:cstheme="majorBidi"/>
          <w:sz w:val="24"/>
          <w:szCs w:val="24"/>
        </w:rPr>
        <w:t xml:space="preserve"> Pakistan (TFP) is spearheading the fight for education in Pakistan. Furthermore, it is a movement for educational equity.</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Globally, such a model has shown massive progress in education and has immediate and positive impacts. The model is deceptively simple, yet radical in its execution. It is established on the principle that educational inequity is a solvable problem. The Teach </w:t>
      </w:r>
      <w:proofErr w:type="gramStart"/>
      <w:r w:rsidRPr="003F6D80">
        <w:rPr>
          <w:rFonts w:asciiTheme="majorBidi" w:hAnsiTheme="majorBidi" w:cstheme="majorBidi"/>
          <w:sz w:val="24"/>
          <w:szCs w:val="24"/>
        </w:rPr>
        <w:t>For</w:t>
      </w:r>
      <w:proofErr w:type="gramEnd"/>
      <w:r w:rsidRPr="003F6D80">
        <w:rPr>
          <w:rFonts w:asciiTheme="majorBidi" w:hAnsiTheme="majorBidi" w:cstheme="majorBidi"/>
          <w:sz w:val="24"/>
          <w:szCs w:val="24"/>
        </w:rPr>
        <w:t xml:space="preserve"> All network, comprising partners like Teach For America and Teach First in the UK, recruits high-achieving university graduates and young professionals from diverse fields. They are not traditional career teachers. Instead, they are committed to a two-year </w:t>
      </w:r>
      <w:proofErr w:type="gramStart"/>
      <w:r w:rsidRPr="003F6D80">
        <w:rPr>
          <w:rFonts w:asciiTheme="majorBidi" w:hAnsiTheme="majorBidi" w:cstheme="majorBidi"/>
          <w:sz w:val="24"/>
          <w:szCs w:val="24"/>
        </w:rPr>
        <w:t>fellowship,</w:t>
      </w:r>
      <w:proofErr w:type="gramEnd"/>
      <w:r w:rsidRPr="003F6D80">
        <w:rPr>
          <w:rFonts w:asciiTheme="majorBidi" w:hAnsiTheme="majorBidi" w:cstheme="majorBidi"/>
          <w:sz w:val="24"/>
          <w:szCs w:val="24"/>
        </w:rPr>
        <w:t xml:space="preserve"> placed in under-resourced schools to drive </w:t>
      </w:r>
      <w:r w:rsidRPr="003F6D80">
        <w:rPr>
          <w:rFonts w:asciiTheme="majorBidi" w:hAnsiTheme="majorBidi" w:cstheme="majorBidi"/>
          <w:sz w:val="24"/>
          <w:szCs w:val="24"/>
        </w:rPr>
        <w:lastRenderedPageBreak/>
        <w:t>student achievement, while being developed as a leadership cohort that will, in the long term, work from within and outside the education system to enact change.</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There is a trove of evidence, </w:t>
      </w:r>
      <w:proofErr w:type="spellStart"/>
      <w:r w:rsidRPr="003F6D80">
        <w:rPr>
          <w:rFonts w:asciiTheme="majorBidi" w:hAnsiTheme="majorBidi" w:cstheme="majorBidi"/>
          <w:sz w:val="24"/>
          <w:szCs w:val="24"/>
        </w:rPr>
        <w:t>scrutinised</w:t>
      </w:r>
      <w:proofErr w:type="spellEnd"/>
      <w:r w:rsidRPr="003F6D80">
        <w:rPr>
          <w:rFonts w:asciiTheme="majorBidi" w:hAnsiTheme="majorBidi" w:cstheme="majorBidi"/>
          <w:sz w:val="24"/>
          <w:szCs w:val="24"/>
        </w:rPr>
        <w:t xml:space="preserve"> in halls from Oxford to </w:t>
      </w:r>
      <w:proofErr w:type="gramStart"/>
      <w:r w:rsidRPr="003F6D80">
        <w:rPr>
          <w:rFonts w:asciiTheme="majorBidi" w:hAnsiTheme="majorBidi" w:cstheme="majorBidi"/>
          <w:sz w:val="24"/>
          <w:szCs w:val="24"/>
        </w:rPr>
        <w:t>Harvard, that</w:t>
      </w:r>
      <w:proofErr w:type="gramEnd"/>
      <w:r w:rsidRPr="003F6D80">
        <w:rPr>
          <w:rFonts w:asciiTheme="majorBidi" w:hAnsiTheme="majorBidi" w:cstheme="majorBidi"/>
          <w:sz w:val="24"/>
          <w:szCs w:val="24"/>
        </w:rPr>
        <w:t xml:space="preserve"> is compelling. A comprehensive 2015 study by the University of Manchester found that Teach First participants in the UK were, on average, more effective than other trainee teachers in raising student attainment in secondary school GCSEs. Research from the Harvard Kennedy School has highlighted how such </w:t>
      </w:r>
      <w:proofErr w:type="spellStart"/>
      <w:r w:rsidRPr="003F6D80">
        <w:rPr>
          <w:rFonts w:asciiTheme="majorBidi" w:hAnsiTheme="majorBidi" w:cstheme="majorBidi"/>
          <w:sz w:val="24"/>
          <w:szCs w:val="24"/>
        </w:rPr>
        <w:t>programmes</w:t>
      </w:r>
      <w:proofErr w:type="spellEnd"/>
      <w:r w:rsidRPr="003F6D80">
        <w:rPr>
          <w:rFonts w:asciiTheme="majorBidi" w:hAnsiTheme="majorBidi" w:cstheme="majorBidi"/>
          <w:sz w:val="24"/>
          <w:szCs w:val="24"/>
        </w:rPr>
        <w:t xml:space="preserve"> create a “leadership pipeline”, </w:t>
      </w:r>
      <w:proofErr w:type="spellStart"/>
      <w:r w:rsidRPr="003F6D80">
        <w:rPr>
          <w:rFonts w:asciiTheme="majorBidi" w:hAnsiTheme="majorBidi" w:cstheme="majorBidi"/>
          <w:sz w:val="24"/>
          <w:szCs w:val="24"/>
        </w:rPr>
        <w:t>channelling</w:t>
      </w:r>
      <w:proofErr w:type="spellEnd"/>
      <w:r w:rsidRPr="003F6D80">
        <w:rPr>
          <w:rFonts w:asciiTheme="majorBidi" w:hAnsiTheme="majorBidi" w:cstheme="majorBidi"/>
          <w:sz w:val="24"/>
          <w:szCs w:val="24"/>
        </w:rPr>
        <w:t xml:space="preserve"> talent into sectors where they can influence policy and resource allocation. The alumni statistics are telling: globally, the Teach </w:t>
      </w:r>
      <w:proofErr w:type="gramStart"/>
      <w:r w:rsidRPr="003F6D80">
        <w:rPr>
          <w:rFonts w:asciiTheme="majorBidi" w:hAnsiTheme="majorBidi" w:cstheme="majorBidi"/>
          <w:sz w:val="24"/>
          <w:szCs w:val="24"/>
        </w:rPr>
        <w:t>For</w:t>
      </w:r>
      <w:proofErr w:type="gramEnd"/>
      <w:r w:rsidRPr="003F6D80">
        <w:rPr>
          <w:rFonts w:asciiTheme="majorBidi" w:hAnsiTheme="majorBidi" w:cstheme="majorBidi"/>
          <w:sz w:val="24"/>
          <w:szCs w:val="24"/>
        </w:rPr>
        <w:t xml:space="preserve"> All network has over 100,000 alumni. While </w:t>
      </w:r>
      <w:proofErr w:type="gramStart"/>
      <w:r w:rsidRPr="003F6D80">
        <w:rPr>
          <w:rFonts w:asciiTheme="majorBidi" w:hAnsiTheme="majorBidi" w:cstheme="majorBidi"/>
          <w:sz w:val="24"/>
          <w:szCs w:val="24"/>
        </w:rPr>
        <w:t>a majority remain</w:t>
      </w:r>
      <w:proofErr w:type="gramEnd"/>
      <w:r w:rsidRPr="003F6D80">
        <w:rPr>
          <w:rFonts w:asciiTheme="majorBidi" w:hAnsiTheme="majorBidi" w:cstheme="majorBidi"/>
          <w:sz w:val="24"/>
          <w:szCs w:val="24"/>
        </w:rPr>
        <w:t xml:space="preserve"> in education, a significant portion migrate into policy, civil service, social entrepreneurship, and politics, forming a distributed coalition with a shared, visceral understanding of the education deficit. They are not just teachers; they are systemic change agents.</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Turning to Pakistan, before prescribing the solution, one must understand the depth of the malady. The </w:t>
      </w:r>
      <w:proofErr w:type="spellStart"/>
      <w:r w:rsidRPr="003F6D80">
        <w:rPr>
          <w:rFonts w:asciiTheme="majorBidi" w:hAnsiTheme="majorBidi" w:cstheme="majorBidi"/>
          <w:sz w:val="24"/>
          <w:szCs w:val="24"/>
        </w:rPr>
        <w:t>DEPIx</w:t>
      </w:r>
      <w:proofErr w:type="spellEnd"/>
      <w:r w:rsidRPr="003F6D80">
        <w:rPr>
          <w:rFonts w:asciiTheme="majorBidi" w:hAnsiTheme="majorBidi" w:cstheme="majorBidi"/>
          <w:sz w:val="24"/>
          <w:szCs w:val="24"/>
        </w:rPr>
        <w:t xml:space="preserve"> report is a geographic atlas of despair. More than half of Pakistan’s 134 districts (77) fall into the “Low” performance category. All districts of Balochistan are in this bracket, as are most in </w:t>
      </w:r>
      <w:proofErr w:type="spellStart"/>
      <w:r w:rsidRPr="003F6D80">
        <w:rPr>
          <w:rFonts w:asciiTheme="majorBidi" w:hAnsiTheme="majorBidi" w:cstheme="majorBidi"/>
          <w:sz w:val="24"/>
          <w:szCs w:val="24"/>
        </w:rPr>
        <w:t>Sindh</w:t>
      </w:r>
      <w:proofErr w:type="spellEnd"/>
      <w:r w:rsidRPr="003F6D80">
        <w:rPr>
          <w:rFonts w:asciiTheme="majorBidi" w:hAnsiTheme="majorBidi" w:cstheme="majorBidi"/>
          <w:sz w:val="24"/>
          <w:szCs w:val="24"/>
        </w:rPr>
        <w:t xml:space="preserve"> outside urban </w:t>
      </w:r>
      <w:proofErr w:type="spellStart"/>
      <w:r w:rsidRPr="003F6D80">
        <w:rPr>
          <w:rFonts w:asciiTheme="majorBidi" w:hAnsiTheme="majorBidi" w:cstheme="majorBidi"/>
          <w:sz w:val="24"/>
          <w:szCs w:val="24"/>
        </w:rPr>
        <w:t>centres</w:t>
      </w:r>
      <w:proofErr w:type="spellEnd"/>
      <w:r w:rsidRPr="003F6D80">
        <w:rPr>
          <w:rFonts w:asciiTheme="majorBidi" w:hAnsiTheme="majorBidi" w:cstheme="majorBidi"/>
          <w:sz w:val="24"/>
          <w:szCs w:val="24"/>
        </w:rPr>
        <w:t xml:space="preserve">. The top 10 districts are exclusively from Punjab and Khyber </w:t>
      </w:r>
      <w:proofErr w:type="spellStart"/>
      <w:r w:rsidRPr="003F6D80">
        <w:rPr>
          <w:rFonts w:asciiTheme="majorBidi" w:hAnsiTheme="majorBidi" w:cstheme="majorBidi"/>
          <w:sz w:val="24"/>
          <w:szCs w:val="24"/>
        </w:rPr>
        <w:t>Pakhtunkhwa</w:t>
      </w:r>
      <w:proofErr w:type="spellEnd"/>
      <w:r w:rsidRPr="003F6D80">
        <w:rPr>
          <w:rFonts w:asciiTheme="majorBidi" w:hAnsiTheme="majorBidi" w:cstheme="majorBidi"/>
          <w:sz w:val="24"/>
          <w:szCs w:val="24"/>
        </w:rPr>
        <w:t>, with Islamabad as a prosperous outlier. This is a country fractured along educational lines. Yet it is a sad moment for its millions of youth from every quarter of the country, who are saddened and disappointed by the unfortunate educational tragedy.</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The ASER 2023 data adds a human dimension to this statistical tragedy. While 88% of children aged 6–16 are enrolled, the quality of that enrolment is a mirage. The gap between private and government schools, though present, is negligible: a race to the bottom where only 41% of private and 37% of government school Class 5 students can do basic subtraction. The gender gap is persistent, with boys consistently outperforming girls in literacy and numeracy. Parental education levels are low, with only 39% of mothers having completed primary school, creating a vicious cycle of intergenerational ignorance. The reasons for dropout include migration (23%), law and order (18%), often through political strikes, and economic hardships.</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The government’s response, despite constitutional guarantees under Article 25-A, has been structurally inadequate. Public spending on education is 1.7% of GDP, far below the global average. The </w:t>
      </w:r>
      <w:proofErr w:type="spellStart"/>
      <w:r w:rsidRPr="003F6D80">
        <w:rPr>
          <w:rFonts w:asciiTheme="majorBidi" w:hAnsiTheme="majorBidi" w:cstheme="majorBidi"/>
          <w:sz w:val="24"/>
          <w:szCs w:val="24"/>
        </w:rPr>
        <w:t>DEPIx</w:t>
      </w:r>
      <w:proofErr w:type="spellEnd"/>
      <w:r w:rsidRPr="003F6D80">
        <w:rPr>
          <w:rFonts w:asciiTheme="majorBidi" w:hAnsiTheme="majorBidi" w:cstheme="majorBidi"/>
          <w:sz w:val="24"/>
          <w:szCs w:val="24"/>
        </w:rPr>
        <w:t xml:space="preserve"> correctly identifies that increased funding alone is not a panacea. Governance and management are critically weak, so NGOs like Teach </w:t>
      </w:r>
      <w:proofErr w:type="gramStart"/>
      <w:r w:rsidRPr="003F6D80">
        <w:rPr>
          <w:rFonts w:asciiTheme="majorBidi" w:hAnsiTheme="majorBidi" w:cstheme="majorBidi"/>
          <w:sz w:val="24"/>
          <w:szCs w:val="24"/>
        </w:rPr>
        <w:t>For</w:t>
      </w:r>
      <w:proofErr w:type="gramEnd"/>
      <w:r w:rsidRPr="003F6D80">
        <w:rPr>
          <w:rFonts w:asciiTheme="majorBidi" w:hAnsiTheme="majorBidi" w:cstheme="majorBidi"/>
          <w:sz w:val="24"/>
          <w:szCs w:val="24"/>
        </w:rPr>
        <w:t xml:space="preserve"> Pakistan thus resuscitate the educational environment.</w:t>
      </w:r>
    </w:p>
    <w:p w:rsidR="003F6D80" w:rsidRPr="003F6D80" w:rsidRDefault="003F6D80" w:rsidP="003F6D80">
      <w:pPr>
        <w:rPr>
          <w:rFonts w:asciiTheme="majorBidi" w:hAnsiTheme="majorBidi" w:cstheme="majorBidi"/>
          <w:sz w:val="24"/>
          <w:szCs w:val="24"/>
        </w:rPr>
      </w:pPr>
      <w:r w:rsidRPr="003F6D80">
        <w:rPr>
          <w:rFonts w:asciiTheme="majorBidi" w:hAnsiTheme="majorBidi" w:cstheme="majorBidi"/>
          <w:sz w:val="24"/>
          <w:szCs w:val="24"/>
        </w:rPr>
        <w:t xml:space="preserve">The educational system has slowly been reshaped and plunged into stagnation, but in the contemporary era, where R&amp;D, AI, and progress in every field are observed colossally, strategic planning, partnership, and incentives, as guided by MIT professor and Nobel laureate </w:t>
      </w:r>
      <w:proofErr w:type="spellStart"/>
      <w:r w:rsidRPr="003F6D80">
        <w:rPr>
          <w:rFonts w:asciiTheme="majorBidi" w:hAnsiTheme="majorBidi" w:cstheme="majorBidi"/>
          <w:sz w:val="24"/>
          <w:szCs w:val="24"/>
        </w:rPr>
        <w:t>Daron</w:t>
      </w:r>
      <w:proofErr w:type="spellEnd"/>
      <w:r w:rsidRPr="003F6D80">
        <w:rPr>
          <w:rFonts w:asciiTheme="majorBidi" w:hAnsiTheme="majorBidi" w:cstheme="majorBidi"/>
          <w:sz w:val="24"/>
          <w:szCs w:val="24"/>
        </w:rPr>
        <w:t xml:space="preserve"> </w:t>
      </w:r>
      <w:proofErr w:type="spellStart"/>
      <w:r w:rsidRPr="003F6D80">
        <w:rPr>
          <w:rFonts w:asciiTheme="majorBidi" w:hAnsiTheme="majorBidi" w:cstheme="majorBidi"/>
          <w:sz w:val="24"/>
          <w:szCs w:val="24"/>
        </w:rPr>
        <w:t>Acemoglu</w:t>
      </w:r>
      <w:proofErr w:type="spellEnd"/>
      <w:r w:rsidRPr="003F6D80">
        <w:rPr>
          <w:rFonts w:asciiTheme="majorBidi" w:hAnsiTheme="majorBidi" w:cstheme="majorBidi"/>
          <w:sz w:val="24"/>
          <w:szCs w:val="24"/>
        </w:rPr>
        <w:t>, are the need of the hour for massive development in the education sector.</w:t>
      </w:r>
    </w:p>
    <w:p w:rsidR="003F6D80" w:rsidRPr="003F6D80" w:rsidRDefault="003F6D80" w:rsidP="003F6D80">
      <w:pPr>
        <w:rPr>
          <w:rFonts w:asciiTheme="majorBidi" w:hAnsiTheme="majorBidi" w:cstheme="majorBidi"/>
          <w:sz w:val="24"/>
          <w:szCs w:val="24"/>
        </w:rPr>
      </w:pPr>
      <w:proofErr w:type="spellStart"/>
      <w:proofErr w:type="gramStart"/>
      <w:r w:rsidRPr="003F6D80">
        <w:rPr>
          <w:rFonts w:asciiTheme="majorBidi" w:hAnsiTheme="majorBidi" w:cstheme="majorBidi"/>
          <w:sz w:val="24"/>
          <w:szCs w:val="24"/>
        </w:rPr>
        <w:lastRenderedPageBreak/>
        <w:t>Maqsood</w:t>
      </w:r>
      <w:proofErr w:type="spellEnd"/>
      <w:r w:rsidRPr="003F6D80">
        <w:rPr>
          <w:rFonts w:asciiTheme="majorBidi" w:hAnsiTheme="majorBidi" w:cstheme="majorBidi"/>
          <w:sz w:val="24"/>
          <w:szCs w:val="24"/>
        </w:rPr>
        <w:t xml:space="preserve"> Hussain</w:t>
      </w:r>
      <w:r w:rsidRPr="003F6D80">
        <w:rPr>
          <w:rFonts w:asciiTheme="majorBidi" w:hAnsiTheme="majorBidi" w:cstheme="majorBidi"/>
          <w:sz w:val="24"/>
          <w:szCs w:val="24"/>
        </w:rPr>
        <w:br/>
        <w:t xml:space="preserve">The writer a student at Quaid-e-Azam University, originally from </w:t>
      </w:r>
      <w:proofErr w:type="spellStart"/>
      <w:r w:rsidRPr="003F6D80">
        <w:rPr>
          <w:rFonts w:asciiTheme="majorBidi" w:hAnsiTheme="majorBidi" w:cstheme="majorBidi"/>
          <w:sz w:val="24"/>
          <w:szCs w:val="24"/>
        </w:rPr>
        <w:t>Skardu</w:t>
      </w:r>
      <w:proofErr w:type="spellEnd"/>
      <w:r w:rsidRPr="003F6D80">
        <w:rPr>
          <w:rFonts w:asciiTheme="majorBidi" w:hAnsiTheme="majorBidi" w:cstheme="majorBidi"/>
          <w:sz w:val="24"/>
          <w:szCs w:val="24"/>
        </w:rPr>
        <w:t>, Gilgit-Baltistan.</w:t>
      </w:r>
      <w:proofErr w:type="gramEnd"/>
    </w:p>
    <w:p w:rsidR="00EF7EF3" w:rsidRPr="003F6D80" w:rsidRDefault="00EF7EF3" w:rsidP="003F6D80">
      <w:pPr>
        <w:rPr>
          <w:rFonts w:asciiTheme="majorBidi" w:hAnsiTheme="majorBidi" w:cstheme="majorBidi"/>
          <w:sz w:val="24"/>
          <w:szCs w:val="24"/>
        </w:rPr>
      </w:pPr>
    </w:p>
    <w:sectPr w:rsidR="00EF7EF3" w:rsidRPr="003F6D80" w:rsidSect="00EF7E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D80"/>
    <w:rsid w:val="003F6D80"/>
    <w:rsid w:val="00EF7E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F3"/>
  </w:style>
  <w:style w:type="paragraph" w:styleId="Heading1">
    <w:name w:val="heading 1"/>
    <w:basedOn w:val="Normal"/>
    <w:link w:val="Heading1Char"/>
    <w:uiPriority w:val="9"/>
    <w:qFormat/>
    <w:rsid w:val="003F6D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6D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D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6D8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F6D80"/>
    <w:rPr>
      <w:color w:val="0000FF"/>
      <w:u w:val="single"/>
    </w:rPr>
  </w:style>
  <w:style w:type="paragraph" w:styleId="NormalWeb">
    <w:name w:val="Normal (Web)"/>
    <w:basedOn w:val="Normal"/>
    <w:uiPriority w:val="99"/>
    <w:semiHidden/>
    <w:unhideWhenUsed/>
    <w:rsid w:val="003F6D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D80"/>
    <w:rPr>
      <w:b/>
      <w:bCs/>
    </w:rPr>
  </w:style>
</w:styles>
</file>

<file path=word/webSettings.xml><?xml version="1.0" encoding="utf-8"?>
<w:webSettings xmlns:r="http://schemas.openxmlformats.org/officeDocument/2006/relationships" xmlns:w="http://schemas.openxmlformats.org/wordprocessingml/2006/main">
  <w:divs>
    <w:div w:id="334842620">
      <w:bodyDiv w:val="1"/>
      <w:marLeft w:val="0"/>
      <w:marRight w:val="0"/>
      <w:marTop w:val="0"/>
      <w:marBottom w:val="0"/>
      <w:divBdr>
        <w:top w:val="none" w:sz="0" w:space="0" w:color="auto"/>
        <w:left w:val="none" w:sz="0" w:space="0" w:color="auto"/>
        <w:bottom w:val="none" w:sz="0" w:space="0" w:color="auto"/>
        <w:right w:val="none" w:sz="0" w:space="0" w:color="auto"/>
      </w:divBdr>
      <w:divsChild>
        <w:div w:id="185339270">
          <w:marLeft w:val="0"/>
          <w:marRight w:val="0"/>
          <w:marTop w:val="0"/>
          <w:marBottom w:val="450"/>
          <w:divBdr>
            <w:top w:val="none" w:sz="0" w:space="0" w:color="auto"/>
            <w:left w:val="none" w:sz="0" w:space="0" w:color="auto"/>
            <w:bottom w:val="none" w:sz="0" w:space="0" w:color="auto"/>
            <w:right w:val="none" w:sz="0" w:space="0" w:color="auto"/>
          </w:divBdr>
        </w:div>
        <w:div w:id="461046163">
          <w:marLeft w:val="0"/>
          <w:marRight w:val="0"/>
          <w:marTop w:val="0"/>
          <w:marBottom w:val="450"/>
          <w:divBdr>
            <w:top w:val="none" w:sz="0" w:space="0" w:color="auto"/>
            <w:left w:val="none" w:sz="0" w:space="0" w:color="auto"/>
            <w:bottom w:val="none" w:sz="0" w:space="0" w:color="auto"/>
            <w:right w:val="none" w:sz="0" w:space="0" w:color="auto"/>
          </w:divBdr>
          <w:divsChild>
            <w:div w:id="617177285">
              <w:marLeft w:val="0"/>
              <w:marRight w:val="0"/>
              <w:marTop w:val="300"/>
              <w:marBottom w:val="0"/>
              <w:divBdr>
                <w:top w:val="none" w:sz="0" w:space="0" w:color="auto"/>
                <w:left w:val="none" w:sz="0" w:space="0" w:color="auto"/>
                <w:bottom w:val="none" w:sz="0" w:space="0" w:color="auto"/>
                <w:right w:val="none" w:sz="0" w:space="0" w:color="auto"/>
              </w:divBdr>
              <w:divsChild>
                <w:div w:id="1839231485">
                  <w:marLeft w:val="0"/>
                  <w:marRight w:val="0"/>
                  <w:marTop w:val="0"/>
                  <w:marBottom w:val="225"/>
                  <w:divBdr>
                    <w:top w:val="none" w:sz="0" w:space="0" w:color="auto"/>
                    <w:left w:val="none" w:sz="0" w:space="0" w:color="auto"/>
                    <w:bottom w:val="none" w:sz="0" w:space="0" w:color="auto"/>
                    <w:right w:val="none" w:sz="0" w:space="0" w:color="auto"/>
                  </w:divBdr>
                  <w:divsChild>
                    <w:div w:id="619410646">
                      <w:marLeft w:val="0"/>
                      <w:marRight w:val="0"/>
                      <w:marTop w:val="0"/>
                      <w:marBottom w:val="0"/>
                      <w:divBdr>
                        <w:top w:val="none" w:sz="0" w:space="0" w:color="auto"/>
                        <w:left w:val="none" w:sz="0" w:space="0" w:color="auto"/>
                        <w:bottom w:val="none" w:sz="0" w:space="0" w:color="auto"/>
                        <w:right w:val="none" w:sz="0" w:space="0" w:color="auto"/>
                      </w:divBdr>
                      <w:divsChild>
                        <w:div w:id="1316840001">
                          <w:marLeft w:val="0"/>
                          <w:marRight w:val="90"/>
                          <w:marTop w:val="0"/>
                          <w:marBottom w:val="0"/>
                          <w:divBdr>
                            <w:top w:val="none" w:sz="0" w:space="0" w:color="auto"/>
                            <w:left w:val="none" w:sz="0" w:space="0" w:color="auto"/>
                            <w:bottom w:val="none" w:sz="0" w:space="0" w:color="auto"/>
                            <w:right w:val="none" w:sz="0" w:space="0" w:color="auto"/>
                          </w:divBdr>
                        </w:div>
                        <w:div w:id="1958563488">
                          <w:marLeft w:val="0"/>
                          <w:marRight w:val="90"/>
                          <w:marTop w:val="0"/>
                          <w:marBottom w:val="0"/>
                          <w:divBdr>
                            <w:top w:val="none" w:sz="0" w:space="0" w:color="auto"/>
                            <w:left w:val="none" w:sz="0" w:space="0" w:color="auto"/>
                            <w:bottom w:val="none" w:sz="0" w:space="0" w:color="auto"/>
                            <w:right w:val="none" w:sz="0" w:space="0" w:color="auto"/>
                          </w:divBdr>
                        </w:div>
                        <w:div w:id="16331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80332">
          <w:marLeft w:val="0"/>
          <w:marRight w:val="0"/>
          <w:marTop w:val="0"/>
          <w:marBottom w:val="450"/>
          <w:divBdr>
            <w:top w:val="none" w:sz="0" w:space="0" w:color="auto"/>
            <w:left w:val="none" w:sz="0" w:space="0" w:color="auto"/>
            <w:bottom w:val="none" w:sz="0" w:space="0" w:color="auto"/>
            <w:right w:val="none" w:sz="0" w:space="0" w:color="auto"/>
          </w:divBdr>
          <w:divsChild>
            <w:div w:id="785076160">
              <w:marLeft w:val="0"/>
              <w:marRight w:val="0"/>
              <w:marTop w:val="300"/>
              <w:marBottom w:val="300"/>
              <w:divBdr>
                <w:top w:val="none" w:sz="0" w:space="0" w:color="auto"/>
                <w:left w:val="none" w:sz="0" w:space="0" w:color="auto"/>
                <w:bottom w:val="none" w:sz="0" w:space="0" w:color="auto"/>
                <w:right w:val="none" w:sz="0" w:space="0" w:color="auto"/>
              </w:divBdr>
              <w:divsChild>
                <w:div w:id="1964922440">
                  <w:marLeft w:val="0"/>
                  <w:marRight w:val="0"/>
                  <w:marTop w:val="0"/>
                  <w:marBottom w:val="0"/>
                  <w:divBdr>
                    <w:top w:val="none" w:sz="0" w:space="0" w:color="auto"/>
                    <w:left w:val="none" w:sz="0" w:space="0" w:color="auto"/>
                    <w:bottom w:val="none" w:sz="0" w:space="0" w:color="auto"/>
                    <w:right w:val="none" w:sz="0" w:space="0" w:color="auto"/>
                  </w:divBdr>
                </w:div>
              </w:divsChild>
            </w:div>
            <w:div w:id="1507133579">
              <w:marLeft w:val="0"/>
              <w:marRight w:val="0"/>
              <w:marTop w:val="300"/>
              <w:marBottom w:val="300"/>
              <w:divBdr>
                <w:top w:val="none" w:sz="0" w:space="0" w:color="auto"/>
                <w:left w:val="none" w:sz="0" w:space="0" w:color="auto"/>
                <w:bottom w:val="none" w:sz="0" w:space="0" w:color="auto"/>
                <w:right w:val="none" w:sz="0" w:space="0" w:color="auto"/>
              </w:divBdr>
              <w:divsChild>
                <w:div w:id="466052742">
                  <w:marLeft w:val="0"/>
                  <w:marRight w:val="0"/>
                  <w:marTop w:val="0"/>
                  <w:marBottom w:val="0"/>
                  <w:divBdr>
                    <w:top w:val="none" w:sz="0" w:space="0" w:color="auto"/>
                    <w:left w:val="none" w:sz="0" w:space="0" w:color="auto"/>
                    <w:bottom w:val="none" w:sz="0" w:space="0" w:color="auto"/>
                    <w:right w:val="none" w:sz="0" w:space="0" w:color="auto"/>
                  </w:divBdr>
                </w:div>
              </w:divsChild>
            </w:div>
            <w:div w:id="2027101255">
              <w:marLeft w:val="0"/>
              <w:marRight w:val="0"/>
              <w:marTop w:val="300"/>
              <w:marBottom w:val="300"/>
              <w:divBdr>
                <w:top w:val="none" w:sz="0" w:space="0" w:color="auto"/>
                <w:left w:val="none" w:sz="0" w:space="0" w:color="auto"/>
                <w:bottom w:val="none" w:sz="0" w:space="0" w:color="auto"/>
                <w:right w:val="none" w:sz="0" w:space="0" w:color="auto"/>
              </w:divBdr>
              <w:divsChild>
                <w:div w:id="1483498983">
                  <w:marLeft w:val="0"/>
                  <w:marRight w:val="0"/>
                  <w:marTop w:val="0"/>
                  <w:marBottom w:val="0"/>
                  <w:divBdr>
                    <w:top w:val="none" w:sz="0" w:space="0" w:color="auto"/>
                    <w:left w:val="none" w:sz="0" w:space="0" w:color="auto"/>
                    <w:bottom w:val="none" w:sz="0" w:space="0" w:color="auto"/>
                    <w:right w:val="none" w:sz="0" w:space="0" w:color="auto"/>
                  </w:divBdr>
                </w:div>
              </w:divsChild>
            </w:div>
            <w:div w:id="1326084821">
              <w:marLeft w:val="0"/>
              <w:marRight w:val="0"/>
              <w:marTop w:val="300"/>
              <w:marBottom w:val="300"/>
              <w:divBdr>
                <w:top w:val="none" w:sz="0" w:space="0" w:color="auto"/>
                <w:left w:val="none" w:sz="0" w:space="0" w:color="auto"/>
                <w:bottom w:val="none" w:sz="0" w:space="0" w:color="auto"/>
                <w:right w:val="none" w:sz="0" w:space="0" w:color="auto"/>
              </w:divBdr>
              <w:divsChild>
                <w:div w:id="1823110261">
                  <w:marLeft w:val="0"/>
                  <w:marRight w:val="0"/>
                  <w:marTop w:val="0"/>
                  <w:marBottom w:val="0"/>
                  <w:divBdr>
                    <w:top w:val="none" w:sz="0" w:space="0" w:color="auto"/>
                    <w:left w:val="none" w:sz="0" w:space="0" w:color="auto"/>
                    <w:bottom w:val="none" w:sz="0" w:space="0" w:color="auto"/>
                    <w:right w:val="none" w:sz="0" w:space="0" w:color="auto"/>
                  </w:divBdr>
                </w:div>
              </w:divsChild>
            </w:div>
            <w:div w:id="2040471594">
              <w:marLeft w:val="0"/>
              <w:marRight w:val="0"/>
              <w:marTop w:val="300"/>
              <w:marBottom w:val="300"/>
              <w:divBdr>
                <w:top w:val="none" w:sz="0" w:space="0" w:color="auto"/>
                <w:left w:val="none" w:sz="0" w:space="0" w:color="auto"/>
                <w:bottom w:val="none" w:sz="0" w:space="0" w:color="auto"/>
                <w:right w:val="none" w:sz="0" w:space="0" w:color="auto"/>
              </w:divBdr>
              <w:divsChild>
                <w:div w:id="18442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5075</Characters>
  <Application>Microsoft Office Word</Application>
  <DocSecurity>0</DocSecurity>
  <Lines>42</Lines>
  <Paragraphs>11</Paragraphs>
  <ScaleCrop>false</ScaleCrop>
  <Company>Grizli777</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2025-12-18T04:42:00Z</dcterms:created>
  <dcterms:modified xsi:type="dcterms:W3CDTF">2025-12-18T04:43:00Z</dcterms:modified>
</cp:coreProperties>
</file>