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CE" w:rsidRPr="006909CE" w:rsidRDefault="006909CE" w:rsidP="006909CE">
      <w:pPr>
        <w:spacing w:after="96" w:line="240" w:lineRule="auto"/>
        <w:textAlignment w:val="baseline"/>
        <w:outlineLvl w:val="0"/>
        <w:rPr>
          <w:rFonts w:ascii="Helvetica" w:eastAsia="Times New Roman" w:hAnsi="Helvetica" w:cs="Helvetica"/>
          <w:b/>
          <w:bCs/>
          <w:color w:val="111111"/>
          <w:spacing w:val="-10"/>
          <w:kern w:val="36"/>
          <w:sz w:val="72"/>
          <w:szCs w:val="72"/>
        </w:rPr>
      </w:pPr>
      <w:r w:rsidRPr="006909CE">
        <w:rPr>
          <w:rFonts w:ascii="Helvetica" w:eastAsia="Times New Roman" w:hAnsi="Helvetica" w:cs="Helvetica"/>
          <w:b/>
          <w:bCs/>
          <w:color w:val="111111"/>
          <w:spacing w:val="-10"/>
          <w:kern w:val="36"/>
          <w:sz w:val="72"/>
          <w:szCs w:val="72"/>
        </w:rPr>
        <w:t>State Neglect</w:t>
      </w:r>
    </w:p>
    <w:p w:rsidR="006909CE" w:rsidRPr="006909CE" w:rsidRDefault="006909CE" w:rsidP="006909CE">
      <w:pPr>
        <w:spacing w:after="0" w:line="255" w:lineRule="atLeast"/>
        <w:textAlignment w:val="baseline"/>
        <w:rPr>
          <w:rFonts w:ascii="inherit" w:eastAsia="Times New Roman" w:hAnsi="inherit" w:cs="Times New Roman"/>
          <w:color w:val="A0A0A0"/>
          <w:sz w:val="24"/>
          <w:szCs w:val="24"/>
        </w:rPr>
      </w:pPr>
      <w:r w:rsidRPr="006909CE">
        <w:rPr>
          <w:rFonts w:ascii="inherit" w:eastAsia="Times New Roman" w:hAnsi="inherit" w:cs="Times New Roman"/>
          <w:color w:val="A0A0A0"/>
          <w:sz w:val="24"/>
          <w:szCs w:val="24"/>
        </w:rPr>
        <w:fldChar w:fldCharType="begin"/>
      </w:r>
      <w:r w:rsidRPr="006909CE">
        <w:rPr>
          <w:rFonts w:ascii="inherit" w:eastAsia="Times New Roman" w:hAnsi="inherit" w:cs="Times New Roman"/>
          <w:color w:val="A0A0A0"/>
          <w:sz w:val="24"/>
          <w:szCs w:val="24"/>
        </w:rPr>
        <w:instrText xml:space="preserve"> HYPERLINK "https://www.nation.com.pk/columnist/dr-kamal-monnoo" </w:instrText>
      </w:r>
      <w:r w:rsidRPr="006909CE">
        <w:rPr>
          <w:rFonts w:ascii="inherit" w:eastAsia="Times New Roman" w:hAnsi="inherit" w:cs="Times New Roman"/>
          <w:color w:val="A0A0A0"/>
          <w:sz w:val="24"/>
          <w:szCs w:val="24"/>
        </w:rPr>
        <w:fldChar w:fldCharType="separate"/>
      </w:r>
      <w:r w:rsidRPr="006909CE">
        <w:rPr>
          <w:rFonts w:ascii="inherit" w:eastAsia="Times New Roman" w:hAnsi="inherit" w:cs="Times New Roman"/>
          <w:b/>
          <w:bCs/>
          <w:color w:val="C91212"/>
          <w:sz w:val="24"/>
          <w:szCs w:val="24"/>
        </w:rPr>
        <w:t xml:space="preserve">Dr </w:t>
      </w:r>
      <w:proofErr w:type="spellStart"/>
      <w:r w:rsidRPr="006909CE">
        <w:rPr>
          <w:rFonts w:ascii="inherit" w:eastAsia="Times New Roman" w:hAnsi="inherit" w:cs="Times New Roman"/>
          <w:b/>
          <w:bCs/>
          <w:color w:val="C91212"/>
          <w:sz w:val="24"/>
          <w:szCs w:val="24"/>
        </w:rPr>
        <w:t>Kamal</w:t>
      </w:r>
      <w:proofErr w:type="spellEnd"/>
      <w:r w:rsidRPr="006909CE">
        <w:rPr>
          <w:rFonts w:ascii="inherit" w:eastAsia="Times New Roman" w:hAnsi="inherit" w:cs="Times New Roman"/>
          <w:b/>
          <w:bCs/>
          <w:color w:val="C91212"/>
          <w:sz w:val="24"/>
          <w:szCs w:val="24"/>
        </w:rPr>
        <w:t xml:space="preserve"> </w:t>
      </w:r>
      <w:proofErr w:type="spellStart"/>
      <w:r w:rsidRPr="006909CE">
        <w:rPr>
          <w:rFonts w:ascii="inherit" w:eastAsia="Times New Roman" w:hAnsi="inherit" w:cs="Times New Roman"/>
          <w:b/>
          <w:bCs/>
          <w:color w:val="C91212"/>
          <w:sz w:val="24"/>
          <w:szCs w:val="24"/>
        </w:rPr>
        <w:t>Monnoo</w:t>
      </w:r>
      <w:proofErr w:type="spellEnd"/>
      <w:r w:rsidRPr="006909CE">
        <w:rPr>
          <w:rFonts w:ascii="inherit" w:eastAsia="Times New Roman" w:hAnsi="inherit" w:cs="Times New Roman"/>
          <w:color w:val="A0A0A0"/>
          <w:sz w:val="24"/>
          <w:szCs w:val="24"/>
        </w:rPr>
        <w:fldChar w:fldCharType="end"/>
      </w:r>
    </w:p>
    <w:p w:rsidR="006909CE" w:rsidRPr="006909CE" w:rsidRDefault="006909CE" w:rsidP="006909CE">
      <w:pPr>
        <w:spacing w:after="0" w:line="255" w:lineRule="atLeast"/>
        <w:textAlignment w:val="baseline"/>
        <w:rPr>
          <w:rFonts w:ascii="inherit" w:eastAsia="Times New Roman" w:hAnsi="inherit" w:cs="Times New Roman"/>
          <w:color w:val="A0A0A0"/>
          <w:sz w:val="24"/>
          <w:szCs w:val="24"/>
        </w:rPr>
      </w:pPr>
      <w:r w:rsidRPr="006909CE">
        <w:rPr>
          <w:rFonts w:ascii="inherit" w:eastAsia="Times New Roman" w:hAnsi="inherit" w:cs="Times New Roman"/>
          <w:color w:val="A0A0A0"/>
          <w:sz w:val="24"/>
          <w:szCs w:val="24"/>
        </w:rPr>
        <w:t> </w:t>
      </w:r>
    </w:p>
    <w:p w:rsidR="006909CE" w:rsidRPr="006909CE" w:rsidRDefault="006909CE" w:rsidP="006909CE">
      <w:pPr>
        <w:spacing w:after="0" w:line="255" w:lineRule="atLeast"/>
        <w:textAlignment w:val="baseline"/>
        <w:rPr>
          <w:rFonts w:ascii="inherit" w:eastAsia="Times New Roman" w:hAnsi="inherit" w:cs="Times New Roman"/>
          <w:color w:val="A0A0A0"/>
          <w:sz w:val="24"/>
          <w:szCs w:val="24"/>
        </w:rPr>
      </w:pPr>
      <w:r w:rsidRPr="006909CE">
        <w:rPr>
          <w:rFonts w:ascii="inherit" w:eastAsia="Times New Roman" w:hAnsi="inherit" w:cs="Times New Roman"/>
          <w:color w:val="A0A0A0"/>
          <w:sz w:val="24"/>
          <w:szCs w:val="24"/>
        </w:rPr>
        <w:t> November 27, 2025</w:t>
      </w:r>
    </w:p>
    <w:p w:rsidR="006909CE" w:rsidRPr="006909CE" w:rsidRDefault="006909CE" w:rsidP="006909CE">
      <w:pPr>
        <w:spacing w:line="255" w:lineRule="atLeast"/>
        <w:textAlignment w:val="baseline"/>
        <w:rPr>
          <w:rFonts w:ascii="inherit" w:eastAsia="Times New Roman" w:hAnsi="inherit" w:cs="Times New Roman"/>
          <w:color w:val="A0A0A0"/>
          <w:sz w:val="24"/>
          <w:szCs w:val="24"/>
        </w:rPr>
      </w:pPr>
      <w:hyperlink r:id="rId4" w:history="1">
        <w:r w:rsidRPr="006909CE">
          <w:rPr>
            <w:rFonts w:ascii="inherit" w:eastAsia="Times New Roman" w:hAnsi="inherit" w:cs="Times New Roman"/>
            <w:b/>
            <w:bCs/>
            <w:color w:val="0000FF"/>
            <w:sz w:val="24"/>
            <w:szCs w:val="24"/>
          </w:rPr>
          <w:t>Newspaper</w:t>
        </w:r>
      </w:hyperlink>
      <w:r w:rsidRPr="006909CE">
        <w:rPr>
          <w:rFonts w:ascii="inherit" w:eastAsia="Times New Roman" w:hAnsi="inherit" w:cs="Times New Roman"/>
          <w:color w:val="A0A0A0"/>
          <w:sz w:val="24"/>
          <w:szCs w:val="24"/>
          <w:bdr w:val="none" w:sz="0" w:space="0" w:color="auto" w:frame="1"/>
        </w:rPr>
        <w:t>, </w:t>
      </w:r>
      <w:hyperlink r:id="rId5" w:history="1">
        <w:r w:rsidRPr="006909CE">
          <w:rPr>
            <w:rFonts w:ascii="inherit" w:eastAsia="Times New Roman" w:hAnsi="inherit" w:cs="Times New Roman"/>
            <w:b/>
            <w:bCs/>
            <w:color w:val="0000FF"/>
            <w:sz w:val="24"/>
            <w:szCs w:val="24"/>
          </w:rPr>
          <w:t>Opinions</w:t>
        </w:r>
      </w:hyperlink>
      <w:r w:rsidRPr="006909CE">
        <w:rPr>
          <w:rFonts w:ascii="inherit" w:eastAsia="Times New Roman" w:hAnsi="inherit" w:cs="Times New Roman"/>
          <w:color w:val="A0A0A0"/>
          <w:sz w:val="24"/>
          <w:szCs w:val="24"/>
          <w:bdr w:val="none" w:sz="0" w:space="0" w:color="auto" w:frame="1"/>
        </w:rPr>
        <w:t>, </w:t>
      </w:r>
      <w:hyperlink r:id="rId6" w:history="1">
        <w:r w:rsidRPr="006909CE">
          <w:rPr>
            <w:rFonts w:ascii="inherit" w:eastAsia="Times New Roman" w:hAnsi="inherit" w:cs="Times New Roman"/>
            <w:b/>
            <w:bCs/>
            <w:color w:val="0000FF"/>
            <w:sz w:val="24"/>
            <w:szCs w:val="24"/>
          </w:rPr>
          <w:t>Columns</w:t>
        </w:r>
      </w:hyperlink>
    </w:p>
    <w:p w:rsidR="006909CE" w:rsidRPr="006909CE" w:rsidRDefault="006909CE" w:rsidP="006909CE">
      <w:pPr>
        <w:shd w:val="clear" w:color="auto" w:fill="FFFFFF"/>
        <w:spacing w:after="300" w:line="390" w:lineRule="atLeast"/>
        <w:jc w:val="both"/>
        <w:textAlignment w:val="baseline"/>
        <w:rPr>
          <w:rFonts w:ascii="Arial" w:eastAsia="Times New Roman" w:hAnsi="Arial" w:cs="Arial"/>
          <w:color w:val="333333"/>
          <w:sz w:val="30"/>
          <w:szCs w:val="30"/>
        </w:rPr>
      </w:pPr>
      <w:r w:rsidRPr="006909CE">
        <w:rPr>
          <w:rFonts w:ascii="Arial" w:eastAsia="Times New Roman" w:hAnsi="Arial" w:cs="Arial"/>
          <w:color w:val="333333"/>
          <w:sz w:val="30"/>
          <w:szCs w:val="30"/>
        </w:rPr>
        <w:t xml:space="preserve">Our estimates imply that the same variation in cyclone intensity that marginally raised the </w:t>
      </w:r>
      <w:proofErr w:type="spellStart"/>
      <w:r w:rsidRPr="006909CE">
        <w:rPr>
          <w:rFonts w:ascii="Arial" w:eastAsia="Times New Roman" w:hAnsi="Arial" w:cs="Arial"/>
          <w:color w:val="333333"/>
          <w:sz w:val="30"/>
          <w:szCs w:val="30"/>
        </w:rPr>
        <w:t>Awami</w:t>
      </w:r>
      <w:proofErr w:type="spellEnd"/>
      <w:r w:rsidRPr="006909CE">
        <w:rPr>
          <w:rFonts w:ascii="Arial" w:eastAsia="Times New Roman" w:hAnsi="Arial" w:cs="Arial"/>
          <w:color w:val="333333"/>
          <w:sz w:val="30"/>
          <w:szCs w:val="30"/>
        </w:rPr>
        <w:t xml:space="preserve"> League’s vote share also increased insurgent participation by about 21%, on the order of 260 additional volunteers per electoral district. In a war of attrition, that surge helped sustain resistance until India’s intervention in December 1971 brought the conflict to a decisive close. What links the cyclone to both ballots and battlefields is a mechanism of coordination under duress. Large shocks can realign coalitions, not because they invent grievances, but because they make them common knowledge and morally legible to many people at once. The cyclone did that in three ways. It exposed the incapacity and indifference of a distant state in the most vivid form possible, which sharpened the demand for self-government. It created a narrow window in which that shared demand could be expressed at the ballot box. And when that electoral mandate was denied, it supplied the conviction and networks that </w:t>
      </w:r>
      <w:proofErr w:type="spellStart"/>
      <w:r w:rsidRPr="006909CE">
        <w:rPr>
          <w:rFonts w:ascii="Arial" w:eastAsia="Times New Roman" w:hAnsi="Arial" w:cs="Arial"/>
          <w:color w:val="333333"/>
          <w:sz w:val="30"/>
          <w:szCs w:val="30"/>
        </w:rPr>
        <w:t>channelled</w:t>
      </w:r>
      <w:proofErr w:type="spellEnd"/>
      <w:r w:rsidRPr="006909CE">
        <w:rPr>
          <w:rFonts w:ascii="Arial" w:eastAsia="Times New Roman" w:hAnsi="Arial" w:cs="Arial"/>
          <w:color w:val="333333"/>
          <w:sz w:val="30"/>
          <w:szCs w:val="30"/>
        </w:rPr>
        <w:t xml:space="preserve"> anger into </w:t>
      </w:r>
      <w:proofErr w:type="spellStart"/>
      <w:r w:rsidRPr="006909CE">
        <w:rPr>
          <w:rFonts w:ascii="Arial" w:eastAsia="Times New Roman" w:hAnsi="Arial" w:cs="Arial"/>
          <w:color w:val="333333"/>
          <w:sz w:val="30"/>
          <w:szCs w:val="30"/>
        </w:rPr>
        <w:t>organised</w:t>
      </w:r>
      <w:proofErr w:type="spellEnd"/>
      <w:r w:rsidRPr="006909CE">
        <w:rPr>
          <w:rFonts w:ascii="Arial" w:eastAsia="Times New Roman" w:hAnsi="Arial" w:cs="Arial"/>
          <w:color w:val="333333"/>
          <w:sz w:val="30"/>
          <w:szCs w:val="30"/>
        </w:rPr>
        <w:t xml:space="preserve"> </w:t>
      </w:r>
      <w:proofErr w:type="spellStart"/>
      <w:r w:rsidRPr="006909CE">
        <w:rPr>
          <w:rFonts w:ascii="Arial" w:eastAsia="Times New Roman" w:hAnsi="Arial" w:cs="Arial"/>
          <w:color w:val="333333"/>
          <w:sz w:val="30"/>
          <w:szCs w:val="30"/>
        </w:rPr>
        <w:t>resistance.The</w:t>
      </w:r>
      <w:proofErr w:type="spellEnd"/>
      <w:r w:rsidRPr="006909CE">
        <w:rPr>
          <w:rFonts w:ascii="Arial" w:eastAsia="Times New Roman" w:hAnsi="Arial" w:cs="Arial"/>
          <w:color w:val="333333"/>
          <w:sz w:val="30"/>
          <w:szCs w:val="30"/>
        </w:rPr>
        <w:t xml:space="preserve"> geography of relief distribution clarifies the mechanism. Cyclone-hit areas that received little or no government aid experienced the sharpest separatist shifts. Where the state failed to show up, the case for autonomy was strongest. A simple mediation exercise, a statistical analysis that tests whether one factor helps explain the link between two others, shows that variation in government responsiveness accounts for a large share of the electoral response. In other words, the pathway from environmental shock to political revolution runs through perceived state neglect, amplified by visible non-state relief that competes for trust.</w:t>
      </w:r>
    </w:p>
    <w:p w:rsidR="006909CE" w:rsidRPr="006909CE" w:rsidRDefault="006909CE" w:rsidP="006909CE">
      <w:pPr>
        <w:shd w:val="clear" w:color="auto" w:fill="FFFFFF"/>
        <w:spacing w:after="300" w:line="390" w:lineRule="atLeast"/>
        <w:jc w:val="both"/>
        <w:textAlignment w:val="baseline"/>
        <w:rPr>
          <w:rFonts w:ascii="Arial" w:eastAsia="Times New Roman" w:hAnsi="Arial" w:cs="Arial"/>
          <w:color w:val="333333"/>
          <w:sz w:val="30"/>
          <w:szCs w:val="30"/>
        </w:rPr>
      </w:pPr>
      <w:r w:rsidRPr="006909CE">
        <w:rPr>
          <w:rFonts w:ascii="Arial" w:eastAsia="Times New Roman" w:hAnsi="Arial" w:cs="Arial"/>
          <w:color w:val="333333"/>
          <w:sz w:val="30"/>
          <w:szCs w:val="30"/>
        </w:rPr>
        <w:lastRenderedPageBreak/>
        <w:t xml:space="preserve">This mechanism is not unique to Bangladesh. History offers parallels in which disasters weakened rulers’ claims and </w:t>
      </w:r>
      <w:proofErr w:type="spellStart"/>
      <w:r w:rsidRPr="006909CE">
        <w:rPr>
          <w:rFonts w:ascii="Arial" w:eastAsia="Times New Roman" w:hAnsi="Arial" w:cs="Arial"/>
          <w:color w:val="333333"/>
          <w:sz w:val="30"/>
          <w:szCs w:val="30"/>
        </w:rPr>
        <w:t>galvanised</w:t>
      </w:r>
      <w:proofErr w:type="spellEnd"/>
      <w:r w:rsidRPr="006909CE">
        <w:rPr>
          <w:rFonts w:ascii="Arial" w:eastAsia="Times New Roman" w:hAnsi="Arial" w:cs="Arial"/>
          <w:color w:val="333333"/>
          <w:sz w:val="30"/>
          <w:szCs w:val="30"/>
        </w:rPr>
        <w:t xml:space="preserve"> opposition. The 1978 </w:t>
      </w:r>
      <w:proofErr w:type="spellStart"/>
      <w:r w:rsidRPr="006909CE">
        <w:rPr>
          <w:rFonts w:ascii="Arial" w:eastAsia="Times New Roman" w:hAnsi="Arial" w:cs="Arial"/>
          <w:color w:val="333333"/>
          <w:sz w:val="30"/>
          <w:szCs w:val="30"/>
        </w:rPr>
        <w:t>Tabas</w:t>
      </w:r>
      <w:proofErr w:type="spellEnd"/>
      <w:r w:rsidRPr="006909CE">
        <w:rPr>
          <w:rFonts w:ascii="Arial" w:eastAsia="Times New Roman" w:hAnsi="Arial" w:cs="Arial"/>
          <w:color w:val="333333"/>
          <w:sz w:val="30"/>
          <w:szCs w:val="30"/>
        </w:rPr>
        <w:t xml:space="preserve"> Earthquake in Iran and the Shah’s inadequate response are believed to have fuelled dissent that culminated in the Iranian Revolution of 1979. Scholars argue that the 1976 Tangshan Earthquake in China similarly accelerated political shifts, including Deng Xiaoping’s market reform agenda. In colonial Bengal, the 1943 famine intensified by British policy decisions deepened anti-colonial sentiment and </w:t>
      </w:r>
      <w:proofErr w:type="spellStart"/>
      <w:r w:rsidRPr="006909CE">
        <w:rPr>
          <w:rFonts w:ascii="Arial" w:eastAsia="Times New Roman" w:hAnsi="Arial" w:cs="Arial"/>
          <w:color w:val="333333"/>
          <w:sz w:val="30"/>
          <w:szCs w:val="30"/>
        </w:rPr>
        <w:t>crystallised</w:t>
      </w:r>
      <w:proofErr w:type="spellEnd"/>
      <w:r w:rsidRPr="006909CE">
        <w:rPr>
          <w:rFonts w:ascii="Arial" w:eastAsia="Times New Roman" w:hAnsi="Arial" w:cs="Arial"/>
          <w:color w:val="333333"/>
          <w:sz w:val="30"/>
          <w:szCs w:val="30"/>
        </w:rPr>
        <w:t xml:space="preserve"> a demand for self-rule. In each case, a disaster did more than destroy. It forced people to confront a fundamental question: if the state cannot or will not protect us when we are most vulnerable, what claim does it still have on our </w:t>
      </w:r>
      <w:proofErr w:type="spellStart"/>
      <w:r w:rsidRPr="006909CE">
        <w:rPr>
          <w:rFonts w:ascii="Arial" w:eastAsia="Times New Roman" w:hAnsi="Arial" w:cs="Arial"/>
          <w:color w:val="333333"/>
          <w:sz w:val="30"/>
          <w:szCs w:val="30"/>
        </w:rPr>
        <w:t>loyalty</w:t>
      </w:r>
      <w:proofErr w:type="gramStart"/>
      <w:r w:rsidRPr="006909CE">
        <w:rPr>
          <w:rFonts w:ascii="Arial" w:eastAsia="Times New Roman" w:hAnsi="Arial" w:cs="Arial"/>
          <w:color w:val="333333"/>
          <w:sz w:val="30"/>
          <w:szCs w:val="30"/>
        </w:rPr>
        <w:t>?The</w:t>
      </w:r>
      <w:proofErr w:type="spellEnd"/>
      <w:proofErr w:type="gramEnd"/>
      <w:r w:rsidRPr="006909CE">
        <w:rPr>
          <w:rFonts w:ascii="Arial" w:eastAsia="Times New Roman" w:hAnsi="Arial" w:cs="Arial"/>
          <w:color w:val="333333"/>
          <w:sz w:val="30"/>
          <w:szCs w:val="30"/>
        </w:rPr>
        <w:t xml:space="preserve"> </w:t>
      </w:r>
      <w:proofErr w:type="spellStart"/>
      <w:r w:rsidRPr="006909CE">
        <w:rPr>
          <w:rFonts w:ascii="Arial" w:eastAsia="Times New Roman" w:hAnsi="Arial" w:cs="Arial"/>
          <w:color w:val="333333"/>
          <w:sz w:val="30"/>
          <w:szCs w:val="30"/>
        </w:rPr>
        <w:t>Bhola</w:t>
      </w:r>
      <w:proofErr w:type="spellEnd"/>
      <w:r w:rsidRPr="006909CE">
        <w:rPr>
          <w:rFonts w:ascii="Arial" w:eastAsia="Times New Roman" w:hAnsi="Arial" w:cs="Arial"/>
          <w:color w:val="333333"/>
          <w:sz w:val="30"/>
          <w:szCs w:val="30"/>
        </w:rPr>
        <w:t xml:space="preserve"> cyclone is often described as a natural calamity. That label is accurate but incomplete. It was also a political event that made priorities visible. It offered a shared language for what East Pakistanis would no longer accept. The grievances were already there. The cyclone </w:t>
      </w:r>
      <w:proofErr w:type="spellStart"/>
      <w:r w:rsidRPr="006909CE">
        <w:rPr>
          <w:rFonts w:ascii="Arial" w:eastAsia="Times New Roman" w:hAnsi="Arial" w:cs="Arial"/>
          <w:color w:val="333333"/>
          <w:sz w:val="30"/>
          <w:szCs w:val="30"/>
        </w:rPr>
        <w:t>synchronised</w:t>
      </w:r>
      <w:proofErr w:type="spellEnd"/>
      <w:r w:rsidRPr="006909CE">
        <w:rPr>
          <w:rFonts w:ascii="Arial" w:eastAsia="Times New Roman" w:hAnsi="Arial" w:cs="Arial"/>
          <w:color w:val="333333"/>
          <w:sz w:val="30"/>
          <w:szCs w:val="30"/>
        </w:rPr>
        <w:t xml:space="preserve"> them. It helped turn anger into a project and a project into a nation.</w:t>
      </w:r>
    </w:p>
    <w:p w:rsidR="006909CE" w:rsidRPr="006909CE" w:rsidRDefault="006909CE" w:rsidP="006909CE">
      <w:pPr>
        <w:shd w:val="clear" w:color="auto" w:fill="FFFFFF"/>
        <w:spacing w:after="300" w:line="390" w:lineRule="atLeast"/>
        <w:jc w:val="both"/>
        <w:textAlignment w:val="baseline"/>
        <w:rPr>
          <w:rFonts w:ascii="Arial" w:eastAsia="Times New Roman" w:hAnsi="Arial" w:cs="Arial"/>
          <w:color w:val="333333"/>
          <w:sz w:val="30"/>
          <w:szCs w:val="30"/>
        </w:rPr>
      </w:pPr>
      <w:r w:rsidRPr="006909CE">
        <w:rPr>
          <w:rFonts w:ascii="Arial" w:eastAsia="Times New Roman" w:hAnsi="Arial" w:cs="Arial"/>
          <w:color w:val="333333"/>
          <w:sz w:val="30"/>
          <w:szCs w:val="30"/>
        </w:rPr>
        <w:t xml:space="preserve">There is also a methodological lesson. Narratives alone can hint at mechanisms, but they rarely separate what is causal from what is coincidental. Here, a modern measurement tool from atmospheric science applied to archival satellite imagery allows us to recover credible, fine-grained variation in storm exposure. Matching that variation to constituency-level election returns and to an official registry of war volunteers provides a basis for inference. The evidence points to three core findings. First, greater exposure to the cyclone’s devastation increased support for autonomy in the election held weeks later. Second, the increase was sharpest where government relief failed to arrive, consistent with a channel of governance failure and lost legitimacy. Third, the same places that punished the state at the ballot box also supplied disproportionate numbers of volunteers in the War of Independence. Together, these findings trace a specific chain </w:t>
      </w:r>
      <w:r w:rsidRPr="006909CE">
        <w:rPr>
          <w:rFonts w:ascii="Arial" w:eastAsia="Times New Roman" w:hAnsi="Arial" w:cs="Arial"/>
          <w:color w:val="333333"/>
          <w:sz w:val="30"/>
          <w:szCs w:val="30"/>
        </w:rPr>
        <w:lastRenderedPageBreak/>
        <w:t xml:space="preserve">from environmental shock to electoral coordination to sustained collective </w:t>
      </w:r>
      <w:proofErr w:type="spellStart"/>
      <w:r w:rsidRPr="006909CE">
        <w:rPr>
          <w:rFonts w:ascii="Arial" w:eastAsia="Times New Roman" w:hAnsi="Arial" w:cs="Arial"/>
          <w:color w:val="333333"/>
          <w:sz w:val="30"/>
          <w:szCs w:val="30"/>
        </w:rPr>
        <w:t>action.Was</w:t>
      </w:r>
      <w:proofErr w:type="spellEnd"/>
      <w:r w:rsidRPr="006909CE">
        <w:rPr>
          <w:rFonts w:ascii="Arial" w:eastAsia="Times New Roman" w:hAnsi="Arial" w:cs="Arial"/>
          <w:color w:val="333333"/>
          <w:sz w:val="30"/>
          <w:szCs w:val="30"/>
        </w:rPr>
        <w:t xml:space="preserve"> the cyclone an independent cause of independence or an amplifier of forces already in motion? The answer lies somewhere between. The </w:t>
      </w:r>
      <w:proofErr w:type="spellStart"/>
      <w:r w:rsidRPr="006909CE">
        <w:rPr>
          <w:rFonts w:ascii="Arial" w:eastAsia="Times New Roman" w:hAnsi="Arial" w:cs="Arial"/>
          <w:color w:val="333333"/>
          <w:sz w:val="30"/>
          <w:szCs w:val="30"/>
        </w:rPr>
        <w:t>Awami</w:t>
      </w:r>
      <w:proofErr w:type="spellEnd"/>
      <w:r w:rsidRPr="006909CE">
        <w:rPr>
          <w:rFonts w:ascii="Arial" w:eastAsia="Times New Roman" w:hAnsi="Arial" w:cs="Arial"/>
          <w:color w:val="333333"/>
          <w:sz w:val="30"/>
          <w:szCs w:val="30"/>
        </w:rPr>
        <w:t xml:space="preserve"> League’s victory in East Pakistan was overwhelming and likely would have occurred even without the storm. At the same time, the cyclone widened the base of support at the polls and clearly raised participation in the insurgency. In a struggle that required months of endurance against a superior military, that extra </w:t>
      </w:r>
      <w:proofErr w:type="spellStart"/>
      <w:r w:rsidRPr="006909CE">
        <w:rPr>
          <w:rFonts w:ascii="Arial" w:eastAsia="Times New Roman" w:hAnsi="Arial" w:cs="Arial"/>
          <w:color w:val="333333"/>
          <w:sz w:val="30"/>
          <w:szCs w:val="30"/>
        </w:rPr>
        <w:t>mobilisation</w:t>
      </w:r>
      <w:proofErr w:type="spellEnd"/>
      <w:r w:rsidRPr="006909CE">
        <w:rPr>
          <w:rFonts w:ascii="Arial" w:eastAsia="Times New Roman" w:hAnsi="Arial" w:cs="Arial"/>
          <w:color w:val="333333"/>
          <w:sz w:val="30"/>
          <w:szCs w:val="30"/>
        </w:rPr>
        <w:t xml:space="preserve"> mattered. It helped buy time until a shift in the regional balance of power ensured a decisive end.</w:t>
      </w:r>
    </w:p>
    <w:p w:rsidR="006909CE" w:rsidRPr="006909CE" w:rsidRDefault="006909CE" w:rsidP="006909CE">
      <w:pPr>
        <w:shd w:val="clear" w:color="auto" w:fill="FFFFFF"/>
        <w:spacing w:after="300" w:line="390" w:lineRule="atLeast"/>
        <w:jc w:val="both"/>
        <w:textAlignment w:val="baseline"/>
        <w:rPr>
          <w:rFonts w:ascii="Arial" w:eastAsia="Times New Roman" w:hAnsi="Arial" w:cs="Arial"/>
          <w:color w:val="333333"/>
          <w:sz w:val="30"/>
          <w:szCs w:val="30"/>
        </w:rPr>
      </w:pPr>
      <w:r w:rsidRPr="006909CE">
        <w:rPr>
          <w:rFonts w:ascii="Arial" w:eastAsia="Times New Roman" w:hAnsi="Arial" w:cs="Arial"/>
          <w:color w:val="333333"/>
          <w:sz w:val="30"/>
          <w:szCs w:val="30"/>
        </w:rPr>
        <w:t xml:space="preserve">The broader lesson extends beyond the specific case of Bangladesh. Most separatist movements do not culminate in new sovereign states, which is why isolating mechanisms matters. The combination of environmental vulnerability, visible state neglect and rapid channels for coordination is a powerful one. As climate risks intensify across many regions, these dynamics will recur more frequently. Severe events will test institutions. In some settings, they will determine their </w:t>
      </w:r>
      <w:proofErr w:type="spellStart"/>
      <w:r w:rsidRPr="006909CE">
        <w:rPr>
          <w:rFonts w:ascii="Arial" w:eastAsia="Times New Roman" w:hAnsi="Arial" w:cs="Arial"/>
          <w:color w:val="333333"/>
          <w:sz w:val="30"/>
          <w:szCs w:val="30"/>
        </w:rPr>
        <w:t>survival.The</w:t>
      </w:r>
      <w:proofErr w:type="spellEnd"/>
      <w:r w:rsidRPr="006909CE">
        <w:rPr>
          <w:rFonts w:ascii="Arial" w:eastAsia="Times New Roman" w:hAnsi="Arial" w:cs="Arial"/>
          <w:color w:val="333333"/>
          <w:sz w:val="30"/>
          <w:szCs w:val="30"/>
        </w:rPr>
        <w:t xml:space="preserve"> </w:t>
      </w:r>
      <w:proofErr w:type="spellStart"/>
      <w:r w:rsidRPr="006909CE">
        <w:rPr>
          <w:rFonts w:ascii="Arial" w:eastAsia="Times New Roman" w:hAnsi="Arial" w:cs="Arial"/>
          <w:color w:val="333333"/>
          <w:sz w:val="30"/>
          <w:szCs w:val="30"/>
        </w:rPr>
        <w:t>Bhola</w:t>
      </w:r>
      <w:proofErr w:type="spellEnd"/>
      <w:r w:rsidRPr="006909CE">
        <w:rPr>
          <w:rFonts w:ascii="Arial" w:eastAsia="Times New Roman" w:hAnsi="Arial" w:cs="Arial"/>
          <w:color w:val="333333"/>
          <w:sz w:val="30"/>
          <w:szCs w:val="30"/>
        </w:rPr>
        <w:t xml:space="preserve"> cyclone’s legacy, therefore, is not only a measure of human loss. It is a record of how a shock exposed the fault lines of a federation and transformed dispersed grievances into a unified demand for self-government. It shows that legitimacy can fail abruptly when the state’s most basic function, protection in crisis, falls away. And it demonstrates that when coordination becomes possible at scale, a movement can move from ballots to the battlefield and, against long odds, bring a new nation into the world.</w:t>
      </w:r>
    </w:p>
    <w:p w:rsidR="00912A53" w:rsidRDefault="00912A53"/>
    <w:sectPr w:rsidR="00912A53" w:rsidSect="00912A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9CE"/>
    <w:rsid w:val="006909CE"/>
    <w:rsid w:val="00912A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A53"/>
  </w:style>
  <w:style w:type="paragraph" w:styleId="Heading1">
    <w:name w:val="heading 1"/>
    <w:basedOn w:val="Normal"/>
    <w:link w:val="Heading1Char"/>
    <w:uiPriority w:val="9"/>
    <w:qFormat/>
    <w:rsid w:val="006909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09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9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09C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909CE"/>
    <w:rPr>
      <w:color w:val="0000FF"/>
      <w:u w:val="single"/>
    </w:rPr>
  </w:style>
  <w:style w:type="paragraph" w:styleId="NormalWeb">
    <w:name w:val="Normal (Web)"/>
    <w:basedOn w:val="Normal"/>
    <w:uiPriority w:val="99"/>
    <w:semiHidden/>
    <w:unhideWhenUsed/>
    <w:rsid w:val="006909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502115">
      <w:bodyDiv w:val="1"/>
      <w:marLeft w:val="0"/>
      <w:marRight w:val="0"/>
      <w:marTop w:val="0"/>
      <w:marBottom w:val="0"/>
      <w:divBdr>
        <w:top w:val="none" w:sz="0" w:space="0" w:color="auto"/>
        <w:left w:val="none" w:sz="0" w:space="0" w:color="auto"/>
        <w:bottom w:val="none" w:sz="0" w:space="0" w:color="auto"/>
        <w:right w:val="none" w:sz="0" w:space="0" w:color="auto"/>
      </w:divBdr>
      <w:divsChild>
        <w:div w:id="1596204712">
          <w:marLeft w:val="0"/>
          <w:marRight w:val="0"/>
          <w:marTop w:val="0"/>
          <w:marBottom w:val="450"/>
          <w:divBdr>
            <w:top w:val="none" w:sz="0" w:space="0" w:color="auto"/>
            <w:left w:val="none" w:sz="0" w:space="0" w:color="auto"/>
            <w:bottom w:val="none" w:sz="0" w:space="0" w:color="auto"/>
            <w:right w:val="none" w:sz="0" w:space="0" w:color="auto"/>
          </w:divBdr>
        </w:div>
        <w:div w:id="1266112962">
          <w:marLeft w:val="0"/>
          <w:marRight w:val="0"/>
          <w:marTop w:val="0"/>
          <w:marBottom w:val="450"/>
          <w:divBdr>
            <w:top w:val="none" w:sz="0" w:space="0" w:color="auto"/>
            <w:left w:val="none" w:sz="0" w:space="0" w:color="auto"/>
            <w:bottom w:val="none" w:sz="0" w:space="0" w:color="auto"/>
            <w:right w:val="none" w:sz="0" w:space="0" w:color="auto"/>
          </w:divBdr>
          <w:divsChild>
            <w:div w:id="1844398694">
              <w:marLeft w:val="0"/>
              <w:marRight w:val="0"/>
              <w:marTop w:val="300"/>
              <w:marBottom w:val="0"/>
              <w:divBdr>
                <w:top w:val="none" w:sz="0" w:space="0" w:color="auto"/>
                <w:left w:val="none" w:sz="0" w:space="0" w:color="auto"/>
                <w:bottom w:val="none" w:sz="0" w:space="0" w:color="auto"/>
                <w:right w:val="none" w:sz="0" w:space="0" w:color="auto"/>
              </w:divBdr>
              <w:divsChild>
                <w:div w:id="724530837">
                  <w:marLeft w:val="0"/>
                  <w:marRight w:val="0"/>
                  <w:marTop w:val="0"/>
                  <w:marBottom w:val="225"/>
                  <w:divBdr>
                    <w:top w:val="none" w:sz="0" w:space="0" w:color="auto"/>
                    <w:left w:val="none" w:sz="0" w:space="0" w:color="auto"/>
                    <w:bottom w:val="none" w:sz="0" w:space="0" w:color="auto"/>
                    <w:right w:val="none" w:sz="0" w:space="0" w:color="auto"/>
                  </w:divBdr>
                  <w:divsChild>
                    <w:div w:id="1698850928">
                      <w:marLeft w:val="0"/>
                      <w:marRight w:val="0"/>
                      <w:marTop w:val="0"/>
                      <w:marBottom w:val="0"/>
                      <w:divBdr>
                        <w:top w:val="none" w:sz="0" w:space="0" w:color="auto"/>
                        <w:left w:val="none" w:sz="0" w:space="0" w:color="auto"/>
                        <w:bottom w:val="none" w:sz="0" w:space="0" w:color="auto"/>
                        <w:right w:val="none" w:sz="0" w:space="0" w:color="auto"/>
                      </w:divBdr>
                      <w:divsChild>
                        <w:div w:id="81219394">
                          <w:marLeft w:val="0"/>
                          <w:marRight w:val="90"/>
                          <w:marTop w:val="0"/>
                          <w:marBottom w:val="0"/>
                          <w:divBdr>
                            <w:top w:val="none" w:sz="0" w:space="0" w:color="auto"/>
                            <w:left w:val="none" w:sz="0" w:space="0" w:color="auto"/>
                            <w:bottom w:val="none" w:sz="0" w:space="0" w:color="auto"/>
                            <w:right w:val="none" w:sz="0" w:space="0" w:color="auto"/>
                          </w:divBdr>
                        </w:div>
                        <w:div w:id="946546314">
                          <w:marLeft w:val="0"/>
                          <w:marRight w:val="90"/>
                          <w:marTop w:val="0"/>
                          <w:marBottom w:val="0"/>
                          <w:divBdr>
                            <w:top w:val="none" w:sz="0" w:space="0" w:color="auto"/>
                            <w:left w:val="none" w:sz="0" w:space="0" w:color="auto"/>
                            <w:bottom w:val="none" w:sz="0" w:space="0" w:color="auto"/>
                            <w:right w:val="none" w:sz="0" w:space="0" w:color="auto"/>
                          </w:divBdr>
                        </w:div>
                        <w:div w:id="4482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2844">
          <w:marLeft w:val="0"/>
          <w:marRight w:val="0"/>
          <w:marTop w:val="0"/>
          <w:marBottom w:val="450"/>
          <w:divBdr>
            <w:top w:val="none" w:sz="0" w:space="0" w:color="auto"/>
            <w:left w:val="none" w:sz="0" w:space="0" w:color="auto"/>
            <w:bottom w:val="none" w:sz="0" w:space="0" w:color="auto"/>
            <w:right w:val="none" w:sz="0" w:space="0" w:color="auto"/>
          </w:divBdr>
          <w:divsChild>
            <w:div w:id="478421367">
              <w:marLeft w:val="0"/>
              <w:marRight w:val="0"/>
              <w:marTop w:val="300"/>
              <w:marBottom w:val="300"/>
              <w:divBdr>
                <w:top w:val="none" w:sz="0" w:space="0" w:color="auto"/>
                <w:left w:val="none" w:sz="0" w:space="0" w:color="auto"/>
                <w:bottom w:val="none" w:sz="0" w:space="0" w:color="auto"/>
                <w:right w:val="none" w:sz="0" w:space="0" w:color="auto"/>
              </w:divBdr>
              <w:divsChild>
                <w:div w:id="130028366">
                  <w:marLeft w:val="0"/>
                  <w:marRight w:val="0"/>
                  <w:marTop w:val="0"/>
                  <w:marBottom w:val="0"/>
                  <w:divBdr>
                    <w:top w:val="none" w:sz="0" w:space="0" w:color="auto"/>
                    <w:left w:val="none" w:sz="0" w:space="0" w:color="auto"/>
                    <w:bottom w:val="none" w:sz="0" w:space="0" w:color="auto"/>
                    <w:right w:val="none" w:sz="0" w:space="0" w:color="auto"/>
                  </w:divBdr>
                </w:div>
              </w:divsChild>
            </w:div>
            <w:div w:id="1363553373">
              <w:marLeft w:val="0"/>
              <w:marRight w:val="0"/>
              <w:marTop w:val="300"/>
              <w:marBottom w:val="300"/>
              <w:divBdr>
                <w:top w:val="none" w:sz="0" w:space="0" w:color="auto"/>
                <w:left w:val="none" w:sz="0" w:space="0" w:color="auto"/>
                <w:bottom w:val="none" w:sz="0" w:space="0" w:color="auto"/>
                <w:right w:val="none" w:sz="0" w:space="0" w:color="auto"/>
              </w:divBdr>
              <w:divsChild>
                <w:div w:id="1595355125">
                  <w:marLeft w:val="0"/>
                  <w:marRight w:val="0"/>
                  <w:marTop w:val="0"/>
                  <w:marBottom w:val="0"/>
                  <w:divBdr>
                    <w:top w:val="none" w:sz="0" w:space="0" w:color="auto"/>
                    <w:left w:val="none" w:sz="0" w:space="0" w:color="auto"/>
                    <w:bottom w:val="none" w:sz="0" w:space="0" w:color="auto"/>
                    <w:right w:val="none" w:sz="0" w:space="0" w:color="auto"/>
                  </w:divBdr>
                </w:div>
              </w:divsChild>
            </w:div>
            <w:div w:id="457527738">
              <w:marLeft w:val="0"/>
              <w:marRight w:val="0"/>
              <w:marTop w:val="300"/>
              <w:marBottom w:val="300"/>
              <w:divBdr>
                <w:top w:val="none" w:sz="0" w:space="0" w:color="auto"/>
                <w:left w:val="none" w:sz="0" w:space="0" w:color="auto"/>
                <w:bottom w:val="none" w:sz="0" w:space="0" w:color="auto"/>
                <w:right w:val="none" w:sz="0" w:space="0" w:color="auto"/>
              </w:divBdr>
              <w:divsChild>
                <w:div w:id="2135828650">
                  <w:marLeft w:val="0"/>
                  <w:marRight w:val="0"/>
                  <w:marTop w:val="0"/>
                  <w:marBottom w:val="0"/>
                  <w:divBdr>
                    <w:top w:val="none" w:sz="0" w:space="0" w:color="auto"/>
                    <w:left w:val="none" w:sz="0" w:space="0" w:color="auto"/>
                    <w:bottom w:val="none" w:sz="0" w:space="0" w:color="auto"/>
                    <w:right w:val="none" w:sz="0" w:space="0" w:color="auto"/>
                  </w:divBdr>
                </w:div>
              </w:divsChild>
            </w:div>
            <w:div w:id="1023046437">
              <w:marLeft w:val="0"/>
              <w:marRight w:val="0"/>
              <w:marTop w:val="300"/>
              <w:marBottom w:val="300"/>
              <w:divBdr>
                <w:top w:val="none" w:sz="0" w:space="0" w:color="auto"/>
                <w:left w:val="none" w:sz="0" w:space="0" w:color="auto"/>
                <w:bottom w:val="none" w:sz="0" w:space="0" w:color="auto"/>
                <w:right w:val="none" w:sz="0" w:space="0" w:color="auto"/>
              </w:divBdr>
              <w:divsChild>
                <w:div w:id="16790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4929</Characters>
  <Application>Microsoft Office Word</Application>
  <DocSecurity>0</DocSecurity>
  <Lines>41</Lines>
  <Paragraphs>11</Paragraphs>
  <ScaleCrop>false</ScaleCrop>
  <Company>Grizli777</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2025-11-27T08:10:00Z</dcterms:created>
  <dcterms:modified xsi:type="dcterms:W3CDTF">2025-11-27T08:11:00Z</dcterms:modified>
</cp:coreProperties>
</file>