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665" w:rsidRPr="00D56665" w:rsidRDefault="00D56665" w:rsidP="00D56665">
      <w:pPr>
        <w:rPr>
          <w:rFonts w:asciiTheme="majorBidi" w:hAnsiTheme="majorBidi" w:cstheme="majorBidi"/>
          <w:b/>
          <w:bCs/>
          <w:sz w:val="32"/>
          <w:szCs w:val="32"/>
        </w:rPr>
      </w:pPr>
      <w:r w:rsidRPr="00D56665">
        <w:rPr>
          <w:rFonts w:asciiTheme="majorBidi" w:hAnsiTheme="majorBidi" w:cstheme="majorBidi"/>
          <w:b/>
          <w:bCs/>
          <w:sz w:val="32"/>
          <w:szCs w:val="32"/>
        </w:rPr>
        <w:t>Monetary Policy Needs Softening</w:t>
      </w:r>
    </w:p>
    <w:p w:rsidR="00D56665" w:rsidRPr="00D56665" w:rsidRDefault="00D56665" w:rsidP="00D56665">
      <w:pPr>
        <w:rPr>
          <w:rFonts w:asciiTheme="majorBidi" w:hAnsiTheme="majorBidi" w:cstheme="majorBidi"/>
          <w:sz w:val="24"/>
          <w:szCs w:val="24"/>
        </w:rPr>
      </w:pPr>
      <w:r w:rsidRPr="00D56665">
        <w:rPr>
          <w:rFonts w:asciiTheme="majorBidi" w:hAnsiTheme="majorBidi" w:cstheme="majorBidi"/>
          <w:sz w:val="24"/>
          <w:szCs w:val="24"/>
        </w:rPr>
        <w:t xml:space="preserve">Public confidence in government policy is crucial for a </w:t>
      </w:r>
      <w:proofErr w:type="spellStart"/>
      <w:r w:rsidRPr="00D56665">
        <w:rPr>
          <w:rFonts w:asciiTheme="majorBidi" w:hAnsiTheme="majorBidi" w:cstheme="majorBidi"/>
          <w:sz w:val="24"/>
          <w:szCs w:val="24"/>
        </w:rPr>
        <w:t>favourable</w:t>
      </w:r>
      <w:proofErr w:type="spellEnd"/>
      <w:r w:rsidRPr="00D56665">
        <w:rPr>
          <w:rFonts w:asciiTheme="majorBidi" w:hAnsiTheme="majorBidi" w:cstheme="majorBidi"/>
          <w:sz w:val="24"/>
          <w:szCs w:val="24"/>
        </w:rPr>
        <w:t xml:space="preserve"> environ-</w:t>
      </w:r>
      <w:proofErr w:type="spellStart"/>
      <w:r w:rsidRPr="00D56665">
        <w:rPr>
          <w:rFonts w:asciiTheme="majorBidi" w:hAnsiTheme="majorBidi" w:cstheme="majorBidi"/>
          <w:sz w:val="24"/>
          <w:szCs w:val="24"/>
        </w:rPr>
        <w:t>ment</w:t>
      </w:r>
      <w:proofErr w:type="spellEnd"/>
      <w:r w:rsidRPr="00D56665">
        <w:rPr>
          <w:rFonts w:asciiTheme="majorBidi" w:hAnsiTheme="majorBidi" w:cstheme="majorBidi"/>
          <w:sz w:val="24"/>
          <w:szCs w:val="24"/>
        </w:rPr>
        <w:t xml:space="preserve"> for sustainable growth, and that is the key to success in the economic field.</w:t>
      </w:r>
    </w:p>
    <w:p w:rsidR="00D56665" w:rsidRPr="00D56665" w:rsidRDefault="00D56665" w:rsidP="00D56665">
      <w:pPr>
        <w:rPr>
          <w:rFonts w:asciiTheme="majorBidi" w:hAnsiTheme="majorBidi" w:cstheme="majorBidi"/>
          <w:sz w:val="24"/>
          <w:szCs w:val="24"/>
        </w:rPr>
      </w:pPr>
      <w:proofErr w:type="spellStart"/>
      <w:r w:rsidRPr="00D56665">
        <w:rPr>
          <w:rFonts w:asciiTheme="majorBidi" w:hAnsiTheme="majorBidi" w:cstheme="majorBidi"/>
          <w:sz w:val="24"/>
          <w:szCs w:val="24"/>
        </w:rPr>
        <w:t>Saghir</w:t>
      </w:r>
      <w:proofErr w:type="spellEnd"/>
      <w:r w:rsidRPr="00D56665">
        <w:rPr>
          <w:rFonts w:asciiTheme="majorBidi" w:hAnsiTheme="majorBidi" w:cstheme="majorBidi"/>
          <w:sz w:val="24"/>
          <w:szCs w:val="24"/>
        </w:rPr>
        <w:t xml:space="preserve"> Mushtaq</w:t>
      </w:r>
    </w:p>
    <w:p w:rsidR="00D56665" w:rsidRPr="00D56665" w:rsidRDefault="00D56665" w:rsidP="00D56665">
      <w:pPr>
        <w:rPr>
          <w:rFonts w:asciiTheme="majorBidi" w:hAnsiTheme="majorBidi" w:cstheme="majorBidi"/>
          <w:sz w:val="24"/>
          <w:szCs w:val="24"/>
        </w:rPr>
      </w:pPr>
      <w:r w:rsidRPr="00D56665">
        <w:rPr>
          <w:rFonts w:asciiTheme="majorBidi" w:hAnsiTheme="majorBidi" w:cstheme="majorBidi"/>
          <w:sz w:val="24"/>
          <w:szCs w:val="24"/>
        </w:rPr>
        <w:t> January 01, 2026</w:t>
      </w:r>
    </w:p>
    <w:p w:rsidR="00D56665" w:rsidRPr="00D56665" w:rsidRDefault="00D56665" w:rsidP="00D56665">
      <w:pPr>
        <w:rPr>
          <w:rFonts w:asciiTheme="majorBidi" w:hAnsiTheme="majorBidi" w:cstheme="majorBidi"/>
          <w:sz w:val="24"/>
          <w:szCs w:val="24"/>
        </w:rPr>
      </w:pPr>
      <w:r w:rsidRPr="00D56665">
        <w:rPr>
          <w:rFonts w:asciiTheme="majorBidi" w:hAnsiTheme="majorBidi" w:cstheme="majorBidi"/>
          <w:sz w:val="24"/>
          <w:szCs w:val="24"/>
        </w:rPr>
        <w:t>Trade and industry have all along been protesting against the monetary policy stance. The recent reduction in the policy rate appears a step of keeping coordination with the international banking system, as most of the central banks, both in developing and developed countries, have recently made marginal reductions in their policy rates. By the way, these days the majority of central banks follow an “inflation targeting” framework for their monetary policy. Such banking coordination is seemingly advised by the IMF as well for the smooth functioning of the international financing system.</w:t>
      </w:r>
    </w:p>
    <w:p w:rsidR="00D56665" w:rsidRPr="00D56665" w:rsidRDefault="00D56665" w:rsidP="00D56665">
      <w:pPr>
        <w:rPr>
          <w:rFonts w:asciiTheme="majorBidi" w:hAnsiTheme="majorBidi" w:cstheme="majorBidi"/>
          <w:sz w:val="24"/>
          <w:szCs w:val="24"/>
        </w:rPr>
      </w:pPr>
      <w:r w:rsidRPr="00D56665">
        <w:rPr>
          <w:rFonts w:asciiTheme="majorBidi" w:hAnsiTheme="majorBidi" w:cstheme="majorBidi"/>
          <w:sz w:val="24"/>
          <w:szCs w:val="24"/>
        </w:rPr>
        <w:t xml:space="preserve">The timing of the marginal reduction in the policy rate is seemingly inappropriate. The inflation rate touched its lowest level, 0.3 per cent, in April 2025. That was the appropriate time to reduce it, while in the last six months it has been on a rising trajectory, as the inflation rate was 6.2 per cent in November 2025. This reversal in the inflationary trend gives strength to the argument that monetary policy is no solution to cost-push inflation without its side effects. Seemingly, </w:t>
      </w:r>
      <w:proofErr w:type="spellStart"/>
      <w:r w:rsidRPr="00D56665">
        <w:rPr>
          <w:rFonts w:asciiTheme="majorBidi" w:hAnsiTheme="majorBidi" w:cstheme="majorBidi"/>
          <w:sz w:val="24"/>
          <w:szCs w:val="24"/>
        </w:rPr>
        <w:t>Goodhart’s</w:t>
      </w:r>
      <w:proofErr w:type="spellEnd"/>
      <w:r w:rsidRPr="00D56665">
        <w:rPr>
          <w:rFonts w:asciiTheme="majorBidi" w:hAnsiTheme="majorBidi" w:cstheme="majorBidi"/>
          <w:sz w:val="24"/>
          <w:szCs w:val="24"/>
        </w:rPr>
        <w:t xml:space="preserve"> law has worked, as demand </w:t>
      </w:r>
      <w:proofErr w:type="spellStart"/>
      <w:r w:rsidRPr="00D56665">
        <w:rPr>
          <w:rFonts w:asciiTheme="majorBidi" w:hAnsiTheme="majorBidi" w:cstheme="majorBidi"/>
          <w:sz w:val="24"/>
          <w:szCs w:val="24"/>
        </w:rPr>
        <w:t>contractionary</w:t>
      </w:r>
      <w:proofErr w:type="spellEnd"/>
      <w:r w:rsidRPr="00D56665">
        <w:rPr>
          <w:rFonts w:asciiTheme="majorBidi" w:hAnsiTheme="majorBidi" w:cstheme="majorBidi"/>
          <w:sz w:val="24"/>
          <w:szCs w:val="24"/>
        </w:rPr>
        <w:t xml:space="preserve"> policy has tamed cost-push inflation.</w:t>
      </w:r>
    </w:p>
    <w:p w:rsidR="00D56665" w:rsidRPr="00D56665" w:rsidRDefault="00D56665" w:rsidP="00D56665">
      <w:pPr>
        <w:rPr>
          <w:rFonts w:asciiTheme="majorBidi" w:hAnsiTheme="majorBidi" w:cstheme="majorBidi"/>
          <w:sz w:val="24"/>
          <w:szCs w:val="24"/>
        </w:rPr>
      </w:pPr>
      <w:r w:rsidRPr="00D56665">
        <w:rPr>
          <w:rFonts w:asciiTheme="majorBidi" w:hAnsiTheme="majorBidi" w:cstheme="majorBidi"/>
          <w:sz w:val="24"/>
          <w:szCs w:val="24"/>
        </w:rPr>
        <w:t xml:space="preserve">There is no specific mathematical rule to estimate a policy rate for a specific inflationary situation. But guidelines and parameters based on empirical research have been developed to estimate it. The most widely used such guide is the Taylor Rule, which </w:t>
      </w:r>
      <w:proofErr w:type="spellStart"/>
      <w:r w:rsidRPr="00D56665">
        <w:rPr>
          <w:rFonts w:asciiTheme="majorBidi" w:hAnsiTheme="majorBidi" w:cstheme="majorBidi"/>
          <w:sz w:val="24"/>
          <w:szCs w:val="24"/>
        </w:rPr>
        <w:t>summarises</w:t>
      </w:r>
      <w:proofErr w:type="spellEnd"/>
      <w:r w:rsidRPr="00D56665">
        <w:rPr>
          <w:rFonts w:asciiTheme="majorBidi" w:hAnsiTheme="majorBidi" w:cstheme="majorBidi"/>
          <w:sz w:val="24"/>
          <w:szCs w:val="24"/>
        </w:rPr>
        <w:t xml:space="preserve"> diverse considerations to be kept in view in estimating a target policy rate. This rule has tracked the past trend of policy rates of the US Fed. It helps to estimate an appropriate measure of policy rate to contain inflation, depending on the growth situation. Price stability and high growth goals have a trade-off, as a higher policy rate is required for reducing inflation, while a lower rate is needed for increasing growth. The Taylor Rule accommodates the divergent requirements of competing goals. Keeping this guideline in view, the policy rate suiting the Pakistan economy in a fragile recovery stage has to be considerably low. Numerous economic theories on growth and inflation have been advanced, but with a change in the macroeconomic environment, only a few of them have survived the test of time. The view that, in the short run, monetary policy influences an economy on both output and inflation accounts seems valid in Pakistan’s case as well.</w:t>
      </w:r>
    </w:p>
    <w:p w:rsidR="00D56665" w:rsidRPr="00D56665" w:rsidRDefault="00D56665" w:rsidP="00D56665">
      <w:pPr>
        <w:rPr>
          <w:rFonts w:asciiTheme="majorBidi" w:hAnsiTheme="majorBidi" w:cstheme="majorBidi"/>
          <w:sz w:val="24"/>
          <w:szCs w:val="24"/>
        </w:rPr>
      </w:pPr>
      <w:r w:rsidRPr="00D56665">
        <w:rPr>
          <w:rFonts w:asciiTheme="majorBidi" w:hAnsiTheme="majorBidi" w:cstheme="majorBidi"/>
          <w:sz w:val="24"/>
          <w:szCs w:val="24"/>
        </w:rPr>
        <w:t xml:space="preserve">The marginal reduction in the policy rate would benefit the public sector by lessening debt servicing. However, the largest investor in government securities, the banking sector, is likely to suffer, but the banks would certainly buffer their position, as they are accustomed to a huge interest rate spread to cushion such an eventuality. Generally, high interest is recommended to </w:t>
      </w:r>
      <w:r w:rsidRPr="00D56665">
        <w:rPr>
          <w:rFonts w:asciiTheme="majorBidi" w:hAnsiTheme="majorBidi" w:cstheme="majorBidi"/>
          <w:sz w:val="24"/>
          <w:szCs w:val="24"/>
        </w:rPr>
        <w:lastRenderedPageBreak/>
        <w:t>attract foreign investment, but that route has not been successful in our case due to non-economic factors.</w:t>
      </w:r>
    </w:p>
    <w:p w:rsidR="00D56665" w:rsidRPr="00D56665" w:rsidRDefault="00D56665" w:rsidP="00D56665">
      <w:pPr>
        <w:rPr>
          <w:rFonts w:asciiTheme="majorBidi" w:hAnsiTheme="majorBidi" w:cstheme="majorBidi"/>
          <w:sz w:val="24"/>
          <w:szCs w:val="24"/>
        </w:rPr>
      </w:pPr>
      <w:r w:rsidRPr="00D56665">
        <w:rPr>
          <w:rFonts w:asciiTheme="majorBidi" w:hAnsiTheme="majorBidi" w:cstheme="majorBidi"/>
          <w:sz w:val="24"/>
          <w:szCs w:val="24"/>
        </w:rPr>
        <w:t>Selective use of monetary policy should be made, as it is found more effective in influencing monetary variables such as prices, wages, and exchange rates. Real variables, like factors of production, fall more adequately in the domain of supply-side policy. The monetary policy process, from initiation to impact stage, involves multiple time lags. Thus, its timely calibration and orchestration to its targets often remain obscure. Developing countries like Pakistan lack adequate data and technical know-how to initiate it at an appropriate time in an orderly design and then to steer it prudently. The tight monetary policy has worked in reducing inflation, mostly emanating from higher costs and supply shocks, and inflation expectations, but higher interest has served as a disincentive for investment and production. Despite reductions, the policy rate is still high by all standards. Monetary policy has to be made accommodative by lowering the rate, and that is the expectation of trade and industry as well.</w:t>
      </w:r>
    </w:p>
    <w:p w:rsidR="00D56665" w:rsidRPr="00D56665" w:rsidRDefault="00D56665" w:rsidP="00D56665">
      <w:pPr>
        <w:rPr>
          <w:rFonts w:asciiTheme="majorBidi" w:hAnsiTheme="majorBidi" w:cstheme="majorBidi"/>
          <w:sz w:val="24"/>
          <w:szCs w:val="24"/>
        </w:rPr>
      </w:pPr>
      <w:r w:rsidRPr="00D56665">
        <w:rPr>
          <w:rFonts w:asciiTheme="majorBidi" w:hAnsiTheme="majorBidi" w:cstheme="majorBidi"/>
          <w:sz w:val="24"/>
          <w:szCs w:val="24"/>
        </w:rPr>
        <w:t xml:space="preserve">Greater reliance is to be made on supply-side policy. The long-tested </w:t>
      </w:r>
      <w:proofErr w:type="spellStart"/>
      <w:r w:rsidRPr="00D56665">
        <w:rPr>
          <w:rFonts w:asciiTheme="majorBidi" w:hAnsiTheme="majorBidi" w:cstheme="majorBidi"/>
          <w:sz w:val="24"/>
          <w:szCs w:val="24"/>
        </w:rPr>
        <w:t>Laffer</w:t>
      </w:r>
      <w:proofErr w:type="spellEnd"/>
      <w:r w:rsidRPr="00D56665">
        <w:rPr>
          <w:rFonts w:asciiTheme="majorBidi" w:hAnsiTheme="majorBidi" w:cstheme="majorBidi"/>
          <w:sz w:val="24"/>
          <w:szCs w:val="24"/>
        </w:rPr>
        <w:t xml:space="preserve"> curve theory </w:t>
      </w:r>
      <w:proofErr w:type="spellStart"/>
      <w:r w:rsidRPr="00D56665">
        <w:rPr>
          <w:rFonts w:asciiTheme="majorBidi" w:hAnsiTheme="majorBidi" w:cstheme="majorBidi"/>
          <w:sz w:val="24"/>
          <w:szCs w:val="24"/>
        </w:rPr>
        <w:t>recognises</w:t>
      </w:r>
      <w:proofErr w:type="spellEnd"/>
      <w:r w:rsidRPr="00D56665">
        <w:rPr>
          <w:rFonts w:asciiTheme="majorBidi" w:hAnsiTheme="majorBidi" w:cstheme="majorBidi"/>
          <w:sz w:val="24"/>
          <w:szCs w:val="24"/>
        </w:rPr>
        <w:t xml:space="preserve"> that taxes pushed above the optimal level prove counterproductive in raising revenues as well as in fostering the growth process. Public confidence in government policy is crucial for a </w:t>
      </w:r>
      <w:proofErr w:type="spellStart"/>
      <w:r w:rsidRPr="00D56665">
        <w:rPr>
          <w:rFonts w:asciiTheme="majorBidi" w:hAnsiTheme="majorBidi" w:cstheme="majorBidi"/>
          <w:sz w:val="24"/>
          <w:szCs w:val="24"/>
        </w:rPr>
        <w:t>favourable</w:t>
      </w:r>
      <w:proofErr w:type="spellEnd"/>
      <w:r w:rsidRPr="00D56665">
        <w:rPr>
          <w:rFonts w:asciiTheme="majorBidi" w:hAnsiTheme="majorBidi" w:cstheme="majorBidi"/>
          <w:sz w:val="24"/>
          <w:szCs w:val="24"/>
        </w:rPr>
        <w:t xml:space="preserve"> environment for sustainable growth, and that is the key to success in the economic field. Celebrated economist J. M. Keynes considered people’s expectations as “waves of optimism and pessimism, which principally determine the growth trajectory.</w:t>
      </w:r>
    </w:p>
    <w:p w:rsidR="00D56665" w:rsidRPr="00D56665" w:rsidRDefault="00D56665" w:rsidP="00D56665">
      <w:pPr>
        <w:rPr>
          <w:rFonts w:asciiTheme="majorBidi" w:hAnsiTheme="majorBidi" w:cstheme="majorBidi"/>
          <w:sz w:val="24"/>
          <w:szCs w:val="24"/>
        </w:rPr>
      </w:pPr>
      <w:proofErr w:type="spellStart"/>
      <w:r w:rsidRPr="00D56665">
        <w:rPr>
          <w:rFonts w:asciiTheme="majorBidi" w:hAnsiTheme="majorBidi" w:cstheme="majorBidi"/>
          <w:sz w:val="24"/>
          <w:szCs w:val="24"/>
        </w:rPr>
        <w:t>Saghir</w:t>
      </w:r>
      <w:proofErr w:type="spellEnd"/>
      <w:r w:rsidRPr="00D56665">
        <w:rPr>
          <w:rFonts w:asciiTheme="majorBidi" w:hAnsiTheme="majorBidi" w:cstheme="majorBidi"/>
          <w:sz w:val="24"/>
          <w:szCs w:val="24"/>
        </w:rPr>
        <w:t xml:space="preserve"> Mushtaq</w:t>
      </w:r>
      <w:r w:rsidRPr="00D56665">
        <w:rPr>
          <w:rFonts w:asciiTheme="majorBidi" w:hAnsiTheme="majorBidi" w:cstheme="majorBidi"/>
          <w:sz w:val="24"/>
          <w:szCs w:val="24"/>
        </w:rPr>
        <w:br/>
      </w:r>
      <w:proofErr w:type="gramStart"/>
      <w:r w:rsidRPr="00D56665">
        <w:rPr>
          <w:rFonts w:asciiTheme="majorBidi" w:hAnsiTheme="majorBidi" w:cstheme="majorBidi"/>
          <w:sz w:val="24"/>
          <w:szCs w:val="24"/>
        </w:rPr>
        <w:t>The</w:t>
      </w:r>
      <w:proofErr w:type="gramEnd"/>
      <w:r w:rsidRPr="00D56665">
        <w:rPr>
          <w:rFonts w:asciiTheme="majorBidi" w:hAnsiTheme="majorBidi" w:cstheme="majorBidi"/>
          <w:sz w:val="24"/>
          <w:szCs w:val="24"/>
        </w:rPr>
        <w:t xml:space="preserve"> writer is an economist associated with the Pakistan Institute of Development Economics.</w:t>
      </w:r>
    </w:p>
    <w:p w:rsidR="00FE1FD3" w:rsidRPr="00D56665" w:rsidRDefault="00FE1FD3" w:rsidP="00D56665">
      <w:pPr>
        <w:rPr>
          <w:rFonts w:asciiTheme="majorBidi" w:hAnsiTheme="majorBidi" w:cstheme="majorBidi"/>
          <w:sz w:val="24"/>
          <w:szCs w:val="24"/>
        </w:rPr>
      </w:pPr>
    </w:p>
    <w:sectPr w:rsidR="00FE1FD3" w:rsidRPr="00D56665" w:rsidSect="00FE1F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6665"/>
    <w:rsid w:val="00D56665"/>
    <w:rsid w:val="00FE1F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D3"/>
  </w:style>
  <w:style w:type="paragraph" w:styleId="Heading1">
    <w:name w:val="heading 1"/>
    <w:basedOn w:val="Normal"/>
    <w:link w:val="Heading1Char"/>
    <w:uiPriority w:val="9"/>
    <w:qFormat/>
    <w:rsid w:val="00D566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66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666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56665"/>
    <w:rPr>
      <w:color w:val="0000FF"/>
      <w:u w:val="single"/>
    </w:rPr>
  </w:style>
  <w:style w:type="paragraph" w:styleId="NormalWeb">
    <w:name w:val="Normal (Web)"/>
    <w:basedOn w:val="Normal"/>
    <w:uiPriority w:val="99"/>
    <w:semiHidden/>
    <w:unhideWhenUsed/>
    <w:rsid w:val="00D566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6665"/>
    <w:rPr>
      <w:b/>
      <w:bCs/>
    </w:rPr>
  </w:style>
</w:styles>
</file>

<file path=word/webSettings.xml><?xml version="1.0" encoding="utf-8"?>
<w:webSettings xmlns:r="http://schemas.openxmlformats.org/officeDocument/2006/relationships" xmlns:w="http://schemas.openxmlformats.org/wordprocessingml/2006/main">
  <w:divs>
    <w:div w:id="1643463829">
      <w:bodyDiv w:val="1"/>
      <w:marLeft w:val="0"/>
      <w:marRight w:val="0"/>
      <w:marTop w:val="0"/>
      <w:marBottom w:val="0"/>
      <w:divBdr>
        <w:top w:val="none" w:sz="0" w:space="0" w:color="auto"/>
        <w:left w:val="none" w:sz="0" w:space="0" w:color="auto"/>
        <w:bottom w:val="none" w:sz="0" w:space="0" w:color="auto"/>
        <w:right w:val="none" w:sz="0" w:space="0" w:color="auto"/>
      </w:divBdr>
      <w:divsChild>
        <w:div w:id="1690641311">
          <w:marLeft w:val="0"/>
          <w:marRight w:val="0"/>
          <w:marTop w:val="0"/>
          <w:marBottom w:val="450"/>
          <w:divBdr>
            <w:top w:val="none" w:sz="0" w:space="0" w:color="auto"/>
            <w:left w:val="none" w:sz="0" w:space="0" w:color="auto"/>
            <w:bottom w:val="none" w:sz="0" w:space="0" w:color="auto"/>
            <w:right w:val="none" w:sz="0" w:space="0" w:color="auto"/>
          </w:divBdr>
        </w:div>
        <w:div w:id="141430595">
          <w:marLeft w:val="0"/>
          <w:marRight w:val="0"/>
          <w:marTop w:val="0"/>
          <w:marBottom w:val="450"/>
          <w:divBdr>
            <w:top w:val="none" w:sz="0" w:space="0" w:color="auto"/>
            <w:left w:val="none" w:sz="0" w:space="0" w:color="auto"/>
            <w:bottom w:val="none" w:sz="0" w:space="0" w:color="auto"/>
            <w:right w:val="none" w:sz="0" w:space="0" w:color="auto"/>
          </w:divBdr>
          <w:divsChild>
            <w:div w:id="5064519">
              <w:marLeft w:val="0"/>
              <w:marRight w:val="0"/>
              <w:marTop w:val="300"/>
              <w:marBottom w:val="0"/>
              <w:divBdr>
                <w:top w:val="none" w:sz="0" w:space="0" w:color="auto"/>
                <w:left w:val="none" w:sz="0" w:space="0" w:color="auto"/>
                <w:bottom w:val="none" w:sz="0" w:space="0" w:color="auto"/>
                <w:right w:val="none" w:sz="0" w:space="0" w:color="auto"/>
              </w:divBdr>
              <w:divsChild>
                <w:div w:id="1421947000">
                  <w:marLeft w:val="0"/>
                  <w:marRight w:val="0"/>
                  <w:marTop w:val="0"/>
                  <w:marBottom w:val="225"/>
                  <w:divBdr>
                    <w:top w:val="none" w:sz="0" w:space="0" w:color="auto"/>
                    <w:left w:val="none" w:sz="0" w:space="0" w:color="auto"/>
                    <w:bottom w:val="none" w:sz="0" w:space="0" w:color="auto"/>
                    <w:right w:val="none" w:sz="0" w:space="0" w:color="auto"/>
                  </w:divBdr>
                  <w:divsChild>
                    <w:div w:id="1594125205">
                      <w:marLeft w:val="0"/>
                      <w:marRight w:val="0"/>
                      <w:marTop w:val="0"/>
                      <w:marBottom w:val="0"/>
                      <w:divBdr>
                        <w:top w:val="none" w:sz="0" w:space="0" w:color="auto"/>
                        <w:left w:val="none" w:sz="0" w:space="0" w:color="auto"/>
                        <w:bottom w:val="none" w:sz="0" w:space="0" w:color="auto"/>
                        <w:right w:val="none" w:sz="0" w:space="0" w:color="auto"/>
                      </w:divBdr>
                      <w:divsChild>
                        <w:div w:id="578908965">
                          <w:marLeft w:val="0"/>
                          <w:marRight w:val="90"/>
                          <w:marTop w:val="0"/>
                          <w:marBottom w:val="0"/>
                          <w:divBdr>
                            <w:top w:val="none" w:sz="0" w:space="0" w:color="auto"/>
                            <w:left w:val="none" w:sz="0" w:space="0" w:color="auto"/>
                            <w:bottom w:val="none" w:sz="0" w:space="0" w:color="auto"/>
                            <w:right w:val="none" w:sz="0" w:space="0" w:color="auto"/>
                          </w:divBdr>
                        </w:div>
                        <w:div w:id="43992780">
                          <w:marLeft w:val="0"/>
                          <w:marRight w:val="90"/>
                          <w:marTop w:val="0"/>
                          <w:marBottom w:val="0"/>
                          <w:divBdr>
                            <w:top w:val="none" w:sz="0" w:space="0" w:color="auto"/>
                            <w:left w:val="none" w:sz="0" w:space="0" w:color="auto"/>
                            <w:bottom w:val="none" w:sz="0" w:space="0" w:color="auto"/>
                            <w:right w:val="none" w:sz="0" w:space="0" w:color="auto"/>
                          </w:divBdr>
                        </w:div>
                        <w:div w:id="4433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5512">
          <w:marLeft w:val="0"/>
          <w:marRight w:val="0"/>
          <w:marTop w:val="0"/>
          <w:marBottom w:val="450"/>
          <w:divBdr>
            <w:top w:val="none" w:sz="0" w:space="0" w:color="auto"/>
            <w:left w:val="none" w:sz="0" w:space="0" w:color="auto"/>
            <w:bottom w:val="none" w:sz="0" w:space="0" w:color="auto"/>
            <w:right w:val="none" w:sz="0" w:space="0" w:color="auto"/>
          </w:divBdr>
          <w:divsChild>
            <w:div w:id="1251892611">
              <w:marLeft w:val="0"/>
              <w:marRight w:val="0"/>
              <w:marTop w:val="300"/>
              <w:marBottom w:val="300"/>
              <w:divBdr>
                <w:top w:val="none" w:sz="0" w:space="0" w:color="auto"/>
                <w:left w:val="none" w:sz="0" w:space="0" w:color="auto"/>
                <w:bottom w:val="none" w:sz="0" w:space="0" w:color="auto"/>
                <w:right w:val="none" w:sz="0" w:space="0" w:color="auto"/>
              </w:divBdr>
              <w:divsChild>
                <w:div w:id="5907303">
                  <w:marLeft w:val="0"/>
                  <w:marRight w:val="0"/>
                  <w:marTop w:val="0"/>
                  <w:marBottom w:val="0"/>
                  <w:divBdr>
                    <w:top w:val="none" w:sz="0" w:space="0" w:color="auto"/>
                    <w:left w:val="none" w:sz="0" w:space="0" w:color="auto"/>
                    <w:bottom w:val="none" w:sz="0" w:space="0" w:color="auto"/>
                    <w:right w:val="none" w:sz="0" w:space="0" w:color="auto"/>
                  </w:divBdr>
                </w:div>
              </w:divsChild>
            </w:div>
            <w:div w:id="1729718962">
              <w:marLeft w:val="0"/>
              <w:marRight w:val="0"/>
              <w:marTop w:val="300"/>
              <w:marBottom w:val="300"/>
              <w:divBdr>
                <w:top w:val="none" w:sz="0" w:space="0" w:color="auto"/>
                <w:left w:val="none" w:sz="0" w:space="0" w:color="auto"/>
                <w:bottom w:val="none" w:sz="0" w:space="0" w:color="auto"/>
                <w:right w:val="none" w:sz="0" w:space="0" w:color="auto"/>
              </w:divBdr>
              <w:divsChild>
                <w:div w:id="233467851">
                  <w:marLeft w:val="0"/>
                  <w:marRight w:val="0"/>
                  <w:marTop w:val="0"/>
                  <w:marBottom w:val="0"/>
                  <w:divBdr>
                    <w:top w:val="none" w:sz="0" w:space="0" w:color="auto"/>
                    <w:left w:val="none" w:sz="0" w:space="0" w:color="auto"/>
                    <w:bottom w:val="none" w:sz="0" w:space="0" w:color="auto"/>
                    <w:right w:val="none" w:sz="0" w:space="0" w:color="auto"/>
                  </w:divBdr>
                </w:div>
              </w:divsChild>
            </w:div>
            <w:div w:id="1355810912">
              <w:marLeft w:val="0"/>
              <w:marRight w:val="0"/>
              <w:marTop w:val="300"/>
              <w:marBottom w:val="300"/>
              <w:divBdr>
                <w:top w:val="none" w:sz="0" w:space="0" w:color="auto"/>
                <w:left w:val="none" w:sz="0" w:space="0" w:color="auto"/>
                <w:bottom w:val="none" w:sz="0" w:space="0" w:color="auto"/>
                <w:right w:val="none" w:sz="0" w:space="0" w:color="auto"/>
              </w:divBdr>
              <w:divsChild>
                <w:div w:id="1580629960">
                  <w:marLeft w:val="0"/>
                  <w:marRight w:val="0"/>
                  <w:marTop w:val="0"/>
                  <w:marBottom w:val="0"/>
                  <w:divBdr>
                    <w:top w:val="none" w:sz="0" w:space="0" w:color="auto"/>
                    <w:left w:val="none" w:sz="0" w:space="0" w:color="auto"/>
                    <w:bottom w:val="none" w:sz="0" w:space="0" w:color="auto"/>
                    <w:right w:val="none" w:sz="0" w:space="0" w:color="auto"/>
                  </w:divBdr>
                </w:div>
              </w:divsChild>
            </w:div>
            <w:div w:id="381251955">
              <w:marLeft w:val="0"/>
              <w:marRight w:val="0"/>
              <w:marTop w:val="300"/>
              <w:marBottom w:val="300"/>
              <w:divBdr>
                <w:top w:val="none" w:sz="0" w:space="0" w:color="auto"/>
                <w:left w:val="none" w:sz="0" w:space="0" w:color="auto"/>
                <w:bottom w:val="none" w:sz="0" w:space="0" w:color="auto"/>
                <w:right w:val="none" w:sz="0" w:space="0" w:color="auto"/>
              </w:divBdr>
              <w:divsChild>
                <w:div w:id="1338268052">
                  <w:marLeft w:val="0"/>
                  <w:marRight w:val="0"/>
                  <w:marTop w:val="0"/>
                  <w:marBottom w:val="0"/>
                  <w:divBdr>
                    <w:top w:val="none" w:sz="0" w:space="0" w:color="auto"/>
                    <w:left w:val="none" w:sz="0" w:space="0" w:color="auto"/>
                    <w:bottom w:val="none" w:sz="0" w:space="0" w:color="auto"/>
                    <w:right w:val="none" w:sz="0" w:space="0" w:color="auto"/>
                  </w:divBdr>
                </w:div>
              </w:divsChild>
            </w:div>
            <w:div w:id="1711106637">
              <w:marLeft w:val="0"/>
              <w:marRight w:val="0"/>
              <w:marTop w:val="300"/>
              <w:marBottom w:val="300"/>
              <w:divBdr>
                <w:top w:val="none" w:sz="0" w:space="0" w:color="auto"/>
                <w:left w:val="none" w:sz="0" w:space="0" w:color="auto"/>
                <w:bottom w:val="none" w:sz="0" w:space="0" w:color="auto"/>
                <w:right w:val="none" w:sz="0" w:space="0" w:color="auto"/>
              </w:divBdr>
              <w:divsChild>
                <w:div w:id="1669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Company>Grizli777</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2026-01-01T04:25:00Z</dcterms:created>
  <dcterms:modified xsi:type="dcterms:W3CDTF">2026-01-01T04:26:00Z</dcterms:modified>
</cp:coreProperties>
</file>