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3C6" w:rsidRPr="00BA73C6" w:rsidRDefault="00BA73C6" w:rsidP="00BA73C6">
      <w:pPr>
        <w:rPr>
          <w:rFonts w:asciiTheme="majorBidi" w:hAnsiTheme="majorBidi" w:cstheme="majorBidi"/>
          <w:b/>
          <w:bCs/>
          <w:sz w:val="32"/>
          <w:szCs w:val="32"/>
        </w:rPr>
      </w:pPr>
      <w:r w:rsidRPr="00BA73C6">
        <w:rPr>
          <w:rFonts w:asciiTheme="majorBidi" w:hAnsiTheme="majorBidi" w:cstheme="majorBidi"/>
          <w:b/>
          <w:bCs/>
          <w:sz w:val="32"/>
          <w:szCs w:val="32"/>
        </w:rPr>
        <w:t>Thinking Begins on the Page</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If Pakistan’s classrooms are to produce critical thinkers rather than compliant test-takers, writing must be reclaimed as a central pedagogical practice.</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Ambassador G. R. Baluch </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 December 18, 2025</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Pakistan’s education crisis is commonly framed in terms of funding deficits, outdated curricula, or inadequate infrastructure. These are serious and visible problems, yet they conceal a deeper and more consequential failure. Our classrooms are increasingly producing learners who consume information efficiently but struggle to think independently. At the heart of this cognitive erosion lies a neglected truth: writing is not merely a tool of expression; writing is thinking itself. When writing is marginalized, thinking does not merely weaken—it atrophies.</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Across Pakistan’s education system, from primary schools to universities, the written word has steadily lost its cognitive centrality. Essays are memorized rather than composed, examinations reward recall over reasoning, and students are trained to reproduce “model answers” instead of constructing arguments. This pedagogical culture may yield short-term examination results, but it does not cultivate minds capable of analysis, judgment, or originality. It rewards conformity rather than cognition.</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Cognitive science helps explain why this matters. Writing is among the most intellectually demanding activities humans perform. Psychologist Ronald Kellogg has demonstrated that writing simultaneously engages planning, working memory, language processing, and self-monitoring. Unlike listening or reading—activities that can remain largely passive—writing forces the mind to slow down, organize ideas, test assumptions, and revise conclusions. Thought is externalized, rendered visible, and therefore made answerable to scrutiny. It is for this reason that educational research increasingly affirms that writing is not a reflection of thinking; it is a mode of thinking.</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This insight is not a modern revelation. It runs deep through the history of human thought. Plato, despite his anxiety that writing might weaken memory, relied on written dialogue to conduct sustained philosophical inquiry. His method reflects an intuitive understanding that complex reasoning requires structure, iteration, and internal debate—capacities that writing uniquely enables. The written page becomes a cognitive arena where ideas encounter resistance, confront alternatives, and mature.</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 xml:space="preserve">Immanuel Kant later argued that knowledge is not passively received but actively constructed by the human mind. Writing </w:t>
      </w:r>
      <w:proofErr w:type="spellStart"/>
      <w:r w:rsidRPr="00BA73C6">
        <w:rPr>
          <w:rFonts w:asciiTheme="majorBidi" w:hAnsiTheme="majorBidi" w:cstheme="majorBidi"/>
          <w:sz w:val="24"/>
          <w:szCs w:val="24"/>
        </w:rPr>
        <w:t>operationalizes</w:t>
      </w:r>
      <w:proofErr w:type="spellEnd"/>
      <w:r w:rsidRPr="00BA73C6">
        <w:rPr>
          <w:rFonts w:asciiTheme="majorBidi" w:hAnsiTheme="majorBidi" w:cstheme="majorBidi"/>
          <w:sz w:val="24"/>
          <w:szCs w:val="24"/>
        </w:rPr>
        <w:t xml:space="preserve"> this construction. It compels the thinker to impose order on experience, separate the essential from the incidental, and subject claims to critique. </w:t>
      </w:r>
      <w:r w:rsidRPr="00BA73C6">
        <w:rPr>
          <w:rFonts w:asciiTheme="majorBidi" w:hAnsiTheme="majorBidi" w:cstheme="majorBidi"/>
          <w:sz w:val="24"/>
          <w:szCs w:val="24"/>
        </w:rPr>
        <w:lastRenderedPageBreak/>
        <w:t>Kant’s insistence that reason must examine itself finds one of its most practical expressions in writing.</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 xml:space="preserve">The educational philosopher John Dewey further linked writing to reflective thought and democratic citizenship. For Dewey, learning begins with doubt and proceeds through inquiry toward resolution. Writing sustains this process by holding uncertainty in place long enough for reflection to occur. Without writing, reflection often collapses into opinion; with writing, it becomes disciplined inquiry. Similarly, Lev </w:t>
      </w:r>
      <w:proofErr w:type="spellStart"/>
      <w:r w:rsidRPr="00BA73C6">
        <w:rPr>
          <w:rFonts w:asciiTheme="majorBidi" w:hAnsiTheme="majorBidi" w:cstheme="majorBidi"/>
          <w:sz w:val="24"/>
          <w:szCs w:val="24"/>
        </w:rPr>
        <w:t>Vygotsky</w:t>
      </w:r>
      <w:proofErr w:type="spellEnd"/>
      <w:r w:rsidRPr="00BA73C6">
        <w:rPr>
          <w:rFonts w:asciiTheme="majorBidi" w:hAnsiTheme="majorBidi" w:cstheme="majorBidi"/>
          <w:sz w:val="24"/>
          <w:szCs w:val="24"/>
        </w:rPr>
        <w:t xml:space="preserve"> viewed writing as the highest form of internalized language through which higher cognitive functions are shaped. Writing, in this sense, is structured thinking slowed to a human pace.</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Neuroscience reinforces these philosophical insights. Brain-imaging studies show that writing activates neural networks associated with executive control, memory integration, and abstract reasoning. Research also suggests that handwriting, in particular, strengthens neural pathways related to comprehension and learning more effectively than typing or passive reading. Thinking, when mediated through writing, becomes not only cognitive but embodied.</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The epistemologist Karl Popper famously described knowledge as advancing through conjectures and refutations. Writing gives this process concrete form. Once written, an idea exposes itself to criticism—by others and by the writer. Weak assumptions surface, contradictions become visible, and reasoning can be refined. Writing thus becomes an ethical act of intellectual accountability.</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 xml:space="preserve">For Pakistan, these insights carry urgent and practical implications. With more than sixty percent of the population under the age of thirty-five, the country’s future depends less on physical capital than on cognitive capacity. Yet our education system systematically </w:t>
      </w:r>
      <w:proofErr w:type="spellStart"/>
      <w:r w:rsidRPr="00BA73C6">
        <w:rPr>
          <w:rFonts w:asciiTheme="majorBidi" w:hAnsiTheme="majorBidi" w:cstheme="majorBidi"/>
          <w:sz w:val="24"/>
          <w:szCs w:val="24"/>
        </w:rPr>
        <w:t>underinvests</w:t>
      </w:r>
      <w:proofErr w:type="spellEnd"/>
      <w:r w:rsidRPr="00BA73C6">
        <w:rPr>
          <w:rFonts w:asciiTheme="majorBidi" w:hAnsiTheme="majorBidi" w:cstheme="majorBidi"/>
          <w:sz w:val="24"/>
          <w:szCs w:val="24"/>
        </w:rPr>
        <w:t xml:space="preserve"> in thinking. Writing is treated as a linguistic ornament rather than a cognitive discipline. Students are rarely asked to argue, reflect, synthesize, or question in their own words. Years of schooling accumulate, but intellectual depth does not.</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If Pakistan’s classrooms are to produce critical thinkers rather than compliant test-takers, writing must be reclaimed as a central pedagogical practice at all levels of education. At the primary stage, writing should encourage narration, observation, and reflection, enabling children to give structure to experience. At the secondary level, emphasis must shift toward argumentation, comparison, and evidence-based reasoning. By the time students reach universities, sustained analytical writing—research essays, policy briefs, reflective papers—should be integral to assessment across disciplines, including science, engineering, and professional studies.</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This shift is especially critical in an era shaped by artificial intelligence. As machines increasingly perform routine cognitive tasks, the human advantage lies in skills that resist automation: judgment, synthesis, ethical reasoning, and originality. Writing cultivates precisely these capacities. An education system that sidelines writing inadvertently prepares students for a past that no longer exists.</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lastRenderedPageBreak/>
        <w:t>Reclaiming writing is also essential for democratic culture. In a polarized information environment dominated by slogans, algorithms, and emotional manipulation, the ability to construct arguments, evaluate evidence, and articulate disagreement responsibly is indispensable. Writing trains these habits of mind. It disciplines emotion, rewards clarity, and resists simplification—qualities Pakistan’s public discourse urgently requires.</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Policy reform must therefore go beyond cosmetic curriculum revisions. Teacher training must prioritize writing pedagogy; assessment systems must reward reasoning over reproduction; and national frameworks—such as Pakistan Education Vision 2050—must explicitly recognize writing as a foundation of cognitive development, not merely language proficiency. Without this conceptual shift, education reform will remain superficial.</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The political philosopher Hannah Arendt warned that the greatest danger to human freedom is not ignorance but thoughtlessness—the inability to think critically about one’s actions and beliefs. Writing remains one of the most effective antidotes to this condition. It slows thinking down, demands justification, and exposes error.</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The conclusion, therefore, is both simple and profound: if Pakistan wants better thinkers, it must restore writing to the center of its classrooms. Writing is not an accessory to learning; it is learning. To reclaim the written word is to reclaim thinking itself—and with it, the intellectual foundations of Pakistan’s future.</w:t>
      </w:r>
    </w:p>
    <w:p w:rsidR="00BA73C6" w:rsidRPr="00BA73C6" w:rsidRDefault="00BA73C6" w:rsidP="00BA73C6">
      <w:pPr>
        <w:rPr>
          <w:rFonts w:asciiTheme="majorBidi" w:hAnsiTheme="majorBidi" w:cstheme="majorBidi"/>
          <w:sz w:val="24"/>
          <w:szCs w:val="24"/>
        </w:rPr>
      </w:pPr>
      <w:r w:rsidRPr="00BA73C6">
        <w:rPr>
          <w:rFonts w:asciiTheme="majorBidi" w:hAnsiTheme="majorBidi" w:cstheme="majorBidi"/>
          <w:sz w:val="24"/>
          <w:szCs w:val="24"/>
        </w:rPr>
        <w:t>Ambassador G. R. Baluch</w:t>
      </w:r>
      <w:r w:rsidRPr="00BA73C6">
        <w:rPr>
          <w:rFonts w:asciiTheme="majorBidi" w:hAnsiTheme="majorBidi" w:cstheme="majorBidi"/>
          <w:sz w:val="24"/>
          <w:szCs w:val="24"/>
        </w:rPr>
        <w:br/>
        <w:t>The writer is a former ambassador and Director Global and Regional Studies Center at IOBM University Karachi.</w:t>
      </w:r>
    </w:p>
    <w:p w:rsidR="00180151" w:rsidRPr="00BA73C6" w:rsidRDefault="00180151" w:rsidP="00BA73C6">
      <w:pPr>
        <w:rPr>
          <w:rFonts w:asciiTheme="majorBidi" w:hAnsiTheme="majorBidi" w:cstheme="majorBidi"/>
          <w:sz w:val="24"/>
          <w:szCs w:val="24"/>
        </w:rPr>
      </w:pPr>
    </w:p>
    <w:sectPr w:rsidR="00180151" w:rsidRPr="00BA73C6" w:rsidSect="00180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3C6"/>
    <w:rsid w:val="00180151"/>
    <w:rsid w:val="00BA73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51"/>
  </w:style>
  <w:style w:type="paragraph" w:styleId="Heading1">
    <w:name w:val="heading 1"/>
    <w:basedOn w:val="Normal"/>
    <w:link w:val="Heading1Char"/>
    <w:uiPriority w:val="9"/>
    <w:qFormat/>
    <w:rsid w:val="00BA7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7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73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A73C6"/>
    <w:rPr>
      <w:color w:val="0000FF"/>
      <w:u w:val="single"/>
    </w:rPr>
  </w:style>
  <w:style w:type="paragraph" w:styleId="NormalWeb">
    <w:name w:val="Normal (Web)"/>
    <w:basedOn w:val="Normal"/>
    <w:uiPriority w:val="99"/>
    <w:semiHidden/>
    <w:unhideWhenUsed/>
    <w:rsid w:val="00BA73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3C6"/>
    <w:rPr>
      <w:b/>
      <w:bCs/>
    </w:rPr>
  </w:style>
</w:styles>
</file>

<file path=word/webSettings.xml><?xml version="1.0" encoding="utf-8"?>
<w:webSettings xmlns:r="http://schemas.openxmlformats.org/officeDocument/2006/relationships" xmlns:w="http://schemas.openxmlformats.org/wordprocessingml/2006/main">
  <w:divs>
    <w:div w:id="1898583968">
      <w:bodyDiv w:val="1"/>
      <w:marLeft w:val="0"/>
      <w:marRight w:val="0"/>
      <w:marTop w:val="0"/>
      <w:marBottom w:val="0"/>
      <w:divBdr>
        <w:top w:val="none" w:sz="0" w:space="0" w:color="auto"/>
        <w:left w:val="none" w:sz="0" w:space="0" w:color="auto"/>
        <w:bottom w:val="none" w:sz="0" w:space="0" w:color="auto"/>
        <w:right w:val="none" w:sz="0" w:space="0" w:color="auto"/>
      </w:divBdr>
      <w:divsChild>
        <w:div w:id="386882624">
          <w:marLeft w:val="0"/>
          <w:marRight w:val="0"/>
          <w:marTop w:val="0"/>
          <w:marBottom w:val="450"/>
          <w:divBdr>
            <w:top w:val="none" w:sz="0" w:space="0" w:color="auto"/>
            <w:left w:val="none" w:sz="0" w:space="0" w:color="auto"/>
            <w:bottom w:val="none" w:sz="0" w:space="0" w:color="auto"/>
            <w:right w:val="none" w:sz="0" w:space="0" w:color="auto"/>
          </w:divBdr>
        </w:div>
        <w:div w:id="55128543">
          <w:marLeft w:val="0"/>
          <w:marRight w:val="0"/>
          <w:marTop w:val="0"/>
          <w:marBottom w:val="450"/>
          <w:divBdr>
            <w:top w:val="none" w:sz="0" w:space="0" w:color="auto"/>
            <w:left w:val="none" w:sz="0" w:space="0" w:color="auto"/>
            <w:bottom w:val="none" w:sz="0" w:space="0" w:color="auto"/>
            <w:right w:val="none" w:sz="0" w:space="0" w:color="auto"/>
          </w:divBdr>
          <w:divsChild>
            <w:div w:id="1461024349">
              <w:marLeft w:val="0"/>
              <w:marRight w:val="0"/>
              <w:marTop w:val="300"/>
              <w:marBottom w:val="0"/>
              <w:divBdr>
                <w:top w:val="none" w:sz="0" w:space="0" w:color="auto"/>
                <w:left w:val="none" w:sz="0" w:space="0" w:color="auto"/>
                <w:bottom w:val="none" w:sz="0" w:space="0" w:color="auto"/>
                <w:right w:val="none" w:sz="0" w:space="0" w:color="auto"/>
              </w:divBdr>
              <w:divsChild>
                <w:div w:id="1498227173">
                  <w:marLeft w:val="0"/>
                  <w:marRight w:val="0"/>
                  <w:marTop w:val="0"/>
                  <w:marBottom w:val="225"/>
                  <w:divBdr>
                    <w:top w:val="none" w:sz="0" w:space="0" w:color="auto"/>
                    <w:left w:val="none" w:sz="0" w:space="0" w:color="auto"/>
                    <w:bottom w:val="none" w:sz="0" w:space="0" w:color="auto"/>
                    <w:right w:val="none" w:sz="0" w:space="0" w:color="auto"/>
                  </w:divBdr>
                  <w:divsChild>
                    <w:div w:id="1189179412">
                      <w:marLeft w:val="0"/>
                      <w:marRight w:val="0"/>
                      <w:marTop w:val="0"/>
                      <w:marBottom w:val="0"/>
                      <w:divBdr>
                        <w:top w:val="none" w:sz="0" w:space="0" w:color="auto"/>
                        <w:left w:val="none" w:sz="0" w:space="0" w:color="auto"/>
                        <w:bottom w:val="none" w:sz="0" w:space="0" w:color="auto"/>
                        <w:right w:val="none" w:sz="0" w:space="0" w:color="auto"/>
                      </w:divBdr>
                      <w:divsChild>
                        <w:div w:id="857429571">
                          <w:marLeft w:val="0"/>
                          <w:marRight w:val="90"/>
                          <w:marTop w:val="0"/>
                          <w:marBottom w:val="0"/>
                          <w:divBdr>
                            <w:top w:val="none" w:sz="0" w:space="0" w:color="auto"/>
                            <w:left w:val="none" w:sz="0" w:space="0" w:color="auto"/>
                            <w:bottom w:val="none" w:sz="0" w:space="0" w:color="auto"/>
                            <w:right w:val="none" w:sz="0" w:space="0" w:color="auto"/>
                          </w:divBdr>
                        </w:div>
                        <w:div w:id="1679698875">
                          <w:marLeft w:val="0"/>
                          <w:marRight w:val="90"/>
                          <w:marTop w:val="0"/>
                          <w:marBottom w:val="0"/>
                          <w:divBdr>
                            <w:top w:val="none" w:sz="0" w:space="0" w:color="auto"/>
                            <w:left w:val="none" w:sz="0" w:space="0" w:color="auto"/>
                            <w:bottom w:val="none" w:sz="0" w:space="0" w:color="auto"/>
                            <w:right w:val="none" w:sz="0" w:space="0" w:color="auto"/>
                          </w:divBdr>
                        </w:div>
                        <w:div w:id="702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0258">
          <w:marLeft w:val="0"/>
          <w:marRight w:val="0"/>
          <w:marTop w:val="0"/>
          <w:marBottom w:val="450"/>
          <w:divBdr>
            <w:top w:val="none" w:sz="0" w:space="0" w:color="auto"/>
            <w:left w:val="none" w:sz="0" w:space="0" w:color="auto"/>
            <w:bottom w:val="none" w:sz="0" w:space="0" w:color="auto"/>
            <w:right w:val="none" w:sz="0" w:space="0" w:color="auto"/>
          </w:divBdr>
          <w:divsChild>
            <w:div w:id="2064936977">
              <w:marLeft w:val="0"/>
              <w:marRight w:val="0"/>
              <w:marTop w:val="300"/>
              <w:marBottom w:val="300"/>
              <w:divBdr>
                <w:top w:val="none" w:sz="0" w:space="0" w:color="auto"/>
                <w:left w:val="none" w:sz="0" w:space="0" w:color="auto"/>
                <w:bottom w:val="none" w:sz="0" w:space="0" w:color="auto"/>
                <w:right w:val="none" w:sz="0" w:space="0" w:color="auto"/>
              </w:divBdr>
              <w:divsChild>
                <w:div w:id="1448348683">
                  <w:marLeft w:val="0"/>
                  <w:marRight w:val="0"/>
                  <w:marTop w:val="0"/>
                  <w:marBottom w:val="0"/>
                  <w:divBdr>
                    <w:top w:val="none" w:sz="0" w:space="0" w:color="auto"/>
                    <w:left w:val="none" w:sz="0" w:space="0" w:color="auto"/>
                    <w:bottom w:val="none" w:sz="0" w:space="0" w:color="auto"/>
                    <w:right w:val="none" w:sz="0" w:space="0" w:color="auto"/>
                  </w:divBdr>
                </w:div>
              </w:divsChild>
            </w:div>
            <w:div w:id="176696266">
              <w:marLeft w:val="0"/>
              <w:marRight w:val="0"/>
              <w:marTop w:val="300"/>
              <w:marBottom w:val="300"/>
              <w:divBdr>
                <w:top w:val="none" w:sz="0" w:space="0" w:color="auto"/>
                <w:left w:val="none" w:sz="0" w:space="0" w:color="auto"/>
                <w:bottom w:val="none" w:sz="0" w:space="0" w:color="auto"/>
                <w:right w:val="none" w:sz="0" w:space="0" w:color="auto"/>
              </w:divBdr>
              <w:divsChild>
                <w:div w:id="1865366956">
                  <w:marLeft w:val="0"/>
                  <w:marRight w:val="0"/>
                  <w:marTop w:val="0"/>
                  <w:marBottom w:val="0"/>
                  <w:divBdr>
                    <w:top w:val="none" w:sz="0" w:space="0" w:color="auto"/>
                    <w:left w:val="none" w:sz="0" w:space="0" w:color="auto"/>
                    <w:bottom w:val="none" w:sz="0" w:space="0" w:color="auto"/>
                    <w:right w:val="none" w:sz="0" w:space="0" w:color="auto"/>
                  </w:divBdr>
                </w:div>
              </w:divsChild>
            </w:div>
            <w:div w:id="258758168">
              <w:marLeft w:val="0"/>
              <w:marRight w:val="0"/>
              <w:marTop w:val="300"/>
              <w:marBottom w:val="300"/>
              <w:divBdr>
                <w:top w:val="none" w:sz="0" w:space="0" w:color="auto"/>
                <w:left w:val="none" w:sz="0" w:space="0" w:color="auto"/>
                <w:bottom w:val="none" w:sz="0" w:space="0" w:color="auto"/>
                <w:right w:val="none" w:sz="0" w:space="0" w:color="auto"/>
              </w:divBdr>
              <w:divsChild>
                <w:div w:id="1969974403">
                  <w:marLeft w:val="0"/>
                  <w:marRight w:val="0"/>
                  <w:marTop w:val="0"/>
                  <w:marBottom w:val="0"/>
                  <w:divBdr>
                    <w:top w:val="none" w:sz="0" w:space="0" w:color="auto"/>
                    <w:left w:val="none" w:sz="0" w:space="0" w:color="auto"/>
                    <w:bottom w:val="none" w:sz="0" w:space="0" w:color="auto"/>
                    <w:right w:val="none" w:sz="0" w:space="0" w:color="auto"/>
                  </w:divBdr>
                </w:div>
              </w:divsChild>
            </w:div>
            <w:div w:id="499927715">
              <w:marLeft w:val="0"/>
              <w:marRight w:val="0"/>
              <w:marTop w:val="300"/>
              <w:marBottom w:val="300"/>
              <w:divBdr>
                <w:top w:val="none" w:sz="0" w:space="0" w:color="auto"/>
                <w:left w:val="none" w:sz="0" w:space="0" w:color="auto"/>
                <w:bottom w:val="none" w:sz="0" w:space="0" w:color="auto"/>
                <w:right w:val="none" w:sz="0" w:space="0" w:color="auto"/>
              </w:divBdr>
              <w:divsChild>
                <w:div w:id="1903716824">
                  <w:marLeft w:val="0"/>
                  <w:marRight w:val="0"/>
                  <w:marTop w:val="0"/>
                  <w:marBottom w:val="0"/>
                  <w:divBdr>
                    <w:top w:val="none" w:sz="0" w:space="0" w:color="auto"/>
                    <w:left w:val="none" w:sz="0" w:space="0" w:color="auto"/>
                    <w:bottom w:val="none" w:sz="0" w:space="0" w:color="auto"/>
                    <w:right w:val="none" w:sz="0" w:space="0" w:color="auto"/>
                  </w:divBdr>
                </w:div>
              </w:divsChild>
            </w:div>
            <w:div w:id="1225876311">
              <w:marLeft w:val="0"/>
              <w:marRight w:val="0"/>
              <w:marTop w:val="300"/>
              <w:marBottom w:val="300"/>
              <w:divBdr>
                <w:top w:val="none" w:sz="0" w:space="0" w:color="auto"/>
                <w:left w:val="none" w:sz="0" w:space="0" w:color="auto"/>
                <w:bottom w:val="none" w:sz="0" w:space="0" w:color="auto"/>
                <w:right w:val="none" w:sz="0" w:space="0" w:color="auto"/>
              </w:divBdr>
              <w:divsChild>
                <w:div w:id="19441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6419</Characters>
  <Application>Microsoft Office Word</Application>
  <DocSecurity>0</DocSecurity>
  <Lines>53</Lines>
  <Paragraphs>15</Paragraphs>
  <ScaleCrop>false</ScaleCrop>
  <Company>Grizli777</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2025-12-18T04:52:00Z</dcterms:created>
  <dcterms:modified xsi:type="dcterms:W3CDTF">2025-12-18T04:53:00Z</dcterms:modified>
</cp:coreProperties>
</file>