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4DE" w:rsidRPr="006774DE" w:rsidRDefault="006774DE" w:rsidP="006774DE">
      <w:pPr>
        <w:rPr>
          <w:rFonts w:asciiTheme="majorBidi" w:hAnsiTheme="majorBidi" w:cstheme="majorBidi"/>
          <w:b/>
          <w:bCs/>
          <w:sz w:val="36"/>
          <w:szCs w:val="36"/>
        </w:rPr>
      </w:pPr>
      <w:r w:rsidRPr="006774DE">
        <w:rPr>
          <w:rFonts w:asciiTheme="majorBidi" w:hAnsiTheme="majorBidi" w:cstheme="majorBidi"/>
          <w:b/>
          <w:bCs/>
          <w:sz w:val="36"/>
          <w:szCs w:val="36"/>
        </w:rPr>
        <w:t>Higher Education Round-up 2025</w:t>
      </w:r>
    </w:p>
    <w:p w:rsidR="006774DE" w:rsidRPr="006774DE" w:rsidRDefault="006774DE" w:rsidP="006774DE">
      <w:pPr>
        <w:rPr>
          <w:rFonts w:asciiTheme="majorBidi" w:hAnsiTheme="majorBidi" w:cstheme="majorBidi"/>
          <w:sz w:val="24"/>
          <w:szCs w:val="24"/>
        </w:rPr>
      </w:pPr>
      <w:r w:rsidRPr="006774DE">
        <w:rPr>
          <w:rFonts w:asciiTheme="majorBidi" w:hAnsiTheme="majorBidi" w:cstheme="majorBidi"/>
          <w:sz w:val="24"/>
          <w:szCs w:val="24"/>
        </w:rPr>
        <w:t xml:space="preserve">Pakistan’s higher education sector reflects a year of </w:t>
      </w:r>
      <w:proofErr w:type="spellStart"/>
      <w:r w:rsidRPr="006774DE">
        <w:rPr>
          <w:rFonts w:asciiTheme="majorBidi" w:hAnsiTheme="majorBidi" w:cstheme="majorBidi"/>
          <w:sz w:val="24"/>
          <w:szCs w:val="24"/>
        </w:rPr>
        <w:t>consolida-tion</w:t>
      </w:r>
      <w:proofErr w:type="spellEnd"/>
      <w:r w:rsidRPr="006774DE">
        <w:rPr>
          <w:rFonts w:asciiTheme="majorBidi" w:hAnsiTheme="majorBidi" w:cstheme="majorBidi"/>
          <w:sz w:val="24"/>
          <w:szCs w:val="24"/>
        </w:rPr>
        <w:t xml:space="preserve"> rather than headline-driven expansion.</w:t>
      </w:r>
    </w:p>
    <w:p w:rsidR="006774DE" w:rsidRPr="006774DE" w:rsidRDefault="006774DE" w:rsidP="006774DE">
      <w:pPr>
        <w:rPr>
          <w:rFonts w:asciiTheme="majorBidi" w:hAnsiTheme="majorBidi" w:cstheme="majorBidi"/>
          <w:sz w:val="24"/>
          <w:szCs w:val="24"/>
        </w:rPr>
      </w:pPr>
      <w:r w:rsidRPr="006774DE">
        <w:rPr>
          <w:rFonts w:asciiTheme="majorBidi" w:hAnsiTheme="majorBidi" w:cstheme="majorBidi"/>
          <w:sz w:val="24"/>
          <w:szCs w:val="24"/>
        </w:rPr>
        <w:t xml:space="preserve">Muhammad </w:t>
      </w:r>
      <w:proofErr w:type="spellStart"/>
      <w:r w:rsidRPr="006774DE">
        <w:rPr>
          <w:rFonts w:asciiTheme="majorBidi" w:hAnsiTheme="majorBidi" w:cstheme="majorBidi"/>
          <w:sz w:val="24"/>
          <w:szCs w:val="24"/>
        </w:rPr>
        <w:t>Muneeb</w:t>
      </w:r>
      <w:proofErr w:type="spellEnd"/>
      <w:r w:rsidRPr="006774DE">
        <w:rPr>
          <w:rFonts w:asciiTheme="majorBidi" w:hAnsiTheme="majorBidi" w:cstheme="majorBidi"/>
          <w:sz w:val="24"/>
          <w:szCs w:val="24"/>
        </w:rPr>
        <w:t xml:space="preserve"> </w:t>
      </w:r>
      <w:proofErr w:type="gramStart"/>
      <w:r w:rsidRPr="006774DE">
        <w:rPr>
          <w:rFonts w:asciiTheme="majorBidi" w:hAnsiTheme="majorBidi" w:cstheme="majorBidi"/>
          <w:sz w:val="24"/>
          <w:szCs w:val="24"/>
        </w:rPr>
        <w:t>ur</w:t>
      </w:r>
      <w:proofErr w:type="gramEnd"/>
      <w:r w:rsidRPr="006774DE">
        <w:rPr>
          <w:rFonts w:asciiTheme="majorBidi" w:hAnsiTheme="majorBidi" w:cstheme="majorBidi"/>
          <w:sz w:val="24"/>
          <w:szCs w:val="24"/>
        </w:rPr>
        <w:t xml:space="preserve"> </w:t>
      </w:r>
      <w:proofErr w:type="spellStart"/>
      <w:r w:rsidRPr="006774DE">
        <w:rPr>
          <w:rFonts w:asciiTheme="majorBidi" w:hAnsiTheme="majorBidi" w:cstheme="majorBidi"/>
          <w:sz w:val="24"/>
          <w:szCs w:val="24"/>
        </w:rPr>
        <w:t>Rehman</w:t>
      </w:r>
      <w:proofErr w:type="spellEnd"/>
      <w:r w:rsidRPr="006774DE">
        <w:rPr>
          <w:rFonts w:asciiTheme="majorBidi" w:hAnsiTheme="majorBidi" w:cstheme="majorBidi"/>
          <w:sz w:val="24"/>
          <w:szCs w:val="24"/>
        </w:rPr>
        <w:t> </w:t>
      </w:r>
    </w:p>
    <w:p w:rsidR="006774DE" w:rsidRPr="006774DE" w:rsidRDefault="006774DE" w:rsidP="006774DE">
      <w:pPr>
        <w:rPr>
          <w:rFonts w:asciiTheme="majorBidi" w:hAnsiTheme="majorBidi" w:cstheme="majorBidi"/>
          <w:sz w:val="24"/>
          <w:szCs w:val="24"/>
        </w:rPr>
      </w:pPr>
      <w:r w:rsidRPr="006774DE">
        <w:rPr>
          <w:rFonts w:asciiTheme="majorBidi" w:hAnsiTheme="majorBidi" w:cstheme="majorBidi"/>
          <w:sz w:val="24"/>
          <w:szCs w:val="24"/>
        </w:rPr>
        <w:t> January 01, 2026</w:t>
      </w:r>
    </w:p>
    <w:p w:rsidR="006774DE" w:rsidRPr="006774DE" w:rsidRDefault="006774DE" w:rsidP="006774DE">
      <w:pPr>
        <w:rPr>
          <w:rFonts w:asciiTheme="majorBidi" w:hAnsiTheme="majorBidi" w:cstheme="majorBidi"/>
          <w:sz w:val="24"/>
          <w:szCs w:val="24"/>
        </w:rPr>
      </w:pPr>
      <w:r w:rsidRPr="006774DE">
        <w:rPr>
          <w:rFonts w:asciiTheme="majorBidi" w:hAnsiTheme="majorBidi" w:cstheme="majorBidi"/>
          <w:sz w:val="24"/>
          <w:szCs w:val="24"/>
        </w:rPr>
        <w:t xml:space="preserve">After the passage of the 27th Amendment by Parliament, the next constitutional amendment is expected to address long-standing issues between the federation and the provinces, including the NFC and higher education. The funding of the federal Higher Education Commission of Pakistan, the sole regulator and facilitator of higher education institutions, has remained stagnant for nearly six years. While provinces such as </w:t>
      </w:r>
      <w:proofErr w:type="spellStart"/>
      <w:r w:rsidRPr="006774DE">
        <w:rPr>
          <w:rFonts w:asciiTheme="majorBidi" w:hAnsiTheme="majorBidi" w:cstheme="majorBidi"/>
          <w:sz w:val="24"/>
          <w:szCs w:val="24"/>
        </w:rPr>
        <w:t>Sindh</w:t>
      </w:r>
      <w:proofErr w:type="spellEnd"/>
      <w:r w:rsidRPr="006774DE">
        <w:rPr>
          <w:rFonts w:asciiTheme="majorBidi" w:hAnsiTheme="majorBidi" w:cstheme="majorBidi"/>
          <w:sz w:val="24"/>
          <w:szCs w:val="24"/>
        </w:rPr>
        <w:t xml:space="preserve"> and Punjab have begun contributing to their chartered universities, Khyber </w:t>
      </w:r>
      <w:proofErr w:type="spellStart"/>
      <w:r w:rsidRPr="006774DE">
        <w:rPr>
          <w:rFonts w:asciiTheme="majorBidi" w:hAnsiTheme="majorBidi" w:cstheme="majorBidi"/>
          <w:sz w:val="24"/>
          <w:szCs w:val="24"/>
        </w:rPr>
        <w:t>Pakhtunkhwa</w:t>
      </w:r>
      <w:proofErr w:type="spellEnd"/>
      <w:r w:rsidRPr="006774DE">
        <w:rPr>
          <w:rFonts w:asciiTheme="majorBidi" w:hAnsiTheme="majorBidi" w:cstheme="majorBidi"/>
          <w:sz w:val="24"/>
          <w:szCs w:val="24"/>
        </w:rPr>
        <w:t xml:space="preserve">, Azad Jammu &amp; Kashmir, Gilgit-Baltistan and Balochistan have yet to do so meaningfully. This funding gap continues to widen. It is therefore imperative that the mandate of federal and provincial HECs, including funding formulae, is </w:t>
      </w:r>
      <w:proofErr w:type="spellStart"/>
      <w:r w:rsidRPr="006774DE">
        <w:rPr>
          <w:rFonts w:asciiTheme="majorBidi" w:hAnsiTheme="majorBidi" w:cstheme="majorBidi"/>
          <w:sz w:val="24"/>
          <w:szCs w:val="24"/>
        </w:rPr>
        <w:t>finalised</w:t>
      </w:r>
      <w:proofErr w:type="spellEnd"/>
      <w:r w:rsidRPr="006774DE">
        <w:rPr>
          <w:rFonts w:asciiTheme="majorBidi" w:hAnsiTheme="majorBidi" w:cstheme="majorBidi"/>
          <w:sz w:val="24"/>
          <w:szCs w:val="24"/>
        </w:rPr>
        <w:t xml:space="preserve"> so that 2026 brings clarity and stability to higher education across the country.</w:t>
      </w:r>
    </w:p>
    <w:p w:rsidR="006774DE" w:rsidRPr="006774DE" w:rsidRDefault="006774DE" w:rsidP="006774DE">
      <w:pPr>
        <w:rPr>
          <w:rFonts w:asciiTheme="majorBidi" w:hAnsiTheme="majorBidi" w:cstheme="majorBidi"/>
          <w:sz w:val="24"/>
          <w:szCs w:val="24"/>
        </w:rPr>
      </w:pPr>
      <w:r w:rsidRPr="006774DE">
        <w:rPr>
          <w:rFonts w:asciiTheme="majorBidi" w:hAnsiTheme="majorBidi" w:cstheme="majorBidi"/>
          <w:sz w:val="24"/>
          <w:szCs w:val="24"/>
        </w:rPr>
        <w:t xml:space="preserve">Against this backdrop, a brief review of the federal HEC’s activities during the outgoing year </w:t>
      </w:r>
      <w:proofErr w:type="gramStart"/>
      <w:r w:rsidRPr="006774DE">
        <w:rPr>
          <w:rFonts w:asciiTheme="majorBidi" w:hAnsiTheme="majorBidi" w:cstheme="majorBidi"/>
          <w:sz w:val="24"/>
          <w:szCs w:val="24"/>
        </w:rPr>
        <w:t>offers</w:t>
      </w:r>
      <w:proofErr w:type="gramEnd"/>
      <w:r w:rsidRPr="006774DE">
        <w:rPr>
          <w:rFonts w:asciiTheme="majorBidi" w:hAnsiTheme="majorBidi" w:cstheme="majorBidi"/>
          <w:sz w:val="24"/>
          <w:szCs w:val="24"/>
        </w:rPr>
        <w:t xml:space="preserve"> insight into the state of higher education.</w:t>
      </w:r>
    </w:p>
    <w:p w:rsidR="006774DE" w:rsidRPr="006774DE" w:rsidRDefault="006774DE" w:rsidP="006774DE">
      <w:pPr>
        <w:rPr>
          <w:rFonts w:asciiTheme="majorBidi" w:hAnsiTheme="majorBidi" w:cstheme="majorBidi"/>
          <w:sz w:val="24"/>
          <w:szCs w:val="24"/>
        </w:rPr>
      </w:pPr>
      <w:r w:rsidRPr="006774DE">
        <w:rPr>
          <w:rFonts w:asciiTheme="majorBidi" w:hAnsiTheme="majorBidi" w:cstheme="majorBidi"/>
          <w:sz w:val="24"/>
          <w:szCs w:val="24"/>
        </w:rPr>
        <w:t>As 2025 draws to a close, the sector reflects a year of consolidation rather than expansion. Building on earlier reforms, the focus remained on skills alignment, curriculum relevance, digital infrastructure and international academic engagement. As in previous years, however, the real impact depended less on policy announcements than on implementation by universities.</w:t>
      </w:r>
    </w:p>
    <w:p w:rsidR="006774DE" w:rsidRPr="006774DE" w:rsidRDefault="006774DE" w:rsidP="006774DE">
      <w:pPr>
        <w:rPr>
          <w:rFonts w:asciiTheme="majorBidi" w:hAnsiTheme="majorBidi" w:cstheme="majorBidi"/>
          <w:sz w:val="24"/>
          <w:szCs w:val="24"/>
        </w:rPr>
      </w:pPr>
      <w:r w:rsidRPr="006774DE">
        <w:rPr>
          <w:rFonts w:asciiTheme="majorBidi" w:hAnsiTheme="majorBidi" w:cstheme="majorBidi"/>
          <w:sz w:val="24"/>
          <w:szCs w:val="24"/>
        </w:rPr>
        <w:t xml:space="preserve">One major development was the introduction of mandatory internships and industry-relevant certifications for undergraduate </w:t>
      </w:r>
      <w:proofErr w:type="spellStart"/>
      <w:r w:rsidRPr="006774DE">
        <w:rPr>
          <w:rFonts w:asciiTheme="majorBidi" w:hAnsiTheme="majorBidi" w:cstheme="majorBidi"/>
          <w:sz w:val="24"/>
          <w:szCs w:val="24"/>
        </w:rPr>
        <w:t>programmes</w:t>
      </w:r>
      <w:proofErr w:type="spellEnd"/>
      <w:r w:rsidRPr="006774DE">
        <w:rPr>
          <w:rFonts w:asciiTheme="majorBidi" w:hAnsiTheme="majorBidi" w:cstheme="majorBidi"/>
          <w:sz w:val="24"/>
          <w:szCs w:val="24"/>
        </w:rPr>
        <w:t xml:space="preserve"> under the Undergraduate Education Policy. While the intent to improve employability is widely welcomed, many universities continue to struggle with meaningful industry linkages. In several cases, internships risk becoming procedural formalities rather than structured learning experiences, underscoring the need for stronger institutional capacity rather than further directives.</w:t>
      </w:r>
    </w:p>
    <w:p w:rsidR="006774DE" w:rsidRPr="006774DE" w:rsidRDefault="006774DE" w:rsidP="006774DE">
      <w:pPr>
        <w:rPr>
          <w:rFonts w:asciiTheme="majorBidi" w:hAnsiTheme="majorBidi" w:cstheme="majorBidi"/>
          <w:sz w:val="24"/>
          <w:szCs w:val="24"/>
        </w:rPr>
      </w:pPr>
      <w:r w:rsidRPr="006774DE">
        <w:rPr>
          <w:rFonts w:asciiTheme="majorBidi" w:hAnsiTheme="majorBidi" w:cstheme="majorBidi"/>
          <w:sz w:val="24"/>
          <w:szCs w:val="24"/>
        </w:rPr>
        <w:t>Curriculum reform also continued, with revisions in fields such as pharmacy, food sciences, nutrition and computing. Engagement with industry, particularly in IT, aimed to better serve the country’s large annual cohort of graduates. Yet curriculum reform alone cannot offset outdated teaching practices and inadequate laboratories and research facilities, especially in institutions constrained by limited resources and slow governance.</w:t>
      </w:r>
    </w:p>
    <w:p w:rsidR="006774DE" w:rsidRPr="006774DE" w:rsidRDefault="006774DE" w:rsidP="006774DE">
      <w:pPr>
        <w:rPr>
          <w:rFonts w:asciiTheme="majorBidi" w:hAnsiTheme="majorBidi" w:cstheme="majorBidi"/>
          <w:sz w:val="24"/>
          <w:szCs w:val="24"/>
        </w:rPr>
      </w:pPr>
      <w:r w:rsidRPr="006774DE">
        <w:rPr>
          <w:rFonts w:asciiTheme="majorBidi" w:hAnsiTheme="majorBidi" w:cstheme="majorBidi"/>
          <w:sz w:val="24"/>
          <w:szCs w:val="24"/>
        </w:rPr>
        <w:t xml:space="preserve">Digital transformation progressed through expanded platforms, data </w:t>
      </w:r>
      <w:proofErr w:type="spellStart"/>
      <w:r w:rsidRPr="006774DE">
        <w:rPr>
          <w:rFonts w:asciiTheme="majorBidi" w:hAnsiTheme="majorBidi" w:cstheme="majorBidi"/>
          <w:sz w:val="24"/>
          <w:szCs w:val="24"/>
        </w:rPr>
        <w:t>centres</w:t>
      </w:r>
      <w:proofErr w:type="spellEnd"/>
      <w:r w:rsidRPr="006774DE">
        <w:rPr>
          <w:rFonts w:asciiTheme="majorBidi" w:hAnsiTheme="majorBidi" w:cstheme="majorBidi"/>
          <w:sz w:val="24"/>
          <w:szCs w:val="24"/>
        </w:rPr>
        <w:t xml:space="preserve"> and improved connectivity, reducing disparities between campuses. Still, adoption remained uneven, reflecting differences in leadership priorities and institutional readiness.</w:t>
      </w:r>
    </w:p>
    <w:p w:rsidR="006774DE" w:rsidRPr="006774DE" w:rsidRDefault="006774DE" w:rsidP="006774DE">
      <w:pPr>
        <w:rPr>
          <w:rFonts w:asciiTheme="majorBidi" w:hAnsiTheme="majorBidi" w:cstheme="majorBidi"/>
          <w:sz w:val="24"/>
          <w:szCs w:val="24"/>
        </w:rPr>
      </w:pPr>
      <w:r w:rsidRPr="006774DE">
        <w:rPr>
          <w:rFonts w:asciiTheme="majorBidi" w:hAnsiTheme="majorBidi" w:cstheme="majorBidi"/>
          <w:sz w:val="24"/>
          <w:szCs w:val="24"/>
        </w:rPr>
        <w:lastRenderedPageBreak/>
        <w:t xml:space="preserve">International academic mobility remained a bright spot, with Pakistani students again securing the highest number of Erasmus </w:t>
      </w:r>
      <w:proofErr w:type="spellStart"/>
      <w:r w:rsidRPr="006774DE">
        <w:rPr>
          <w:rFonts w:asciiTheme="majorBidi" w:hAnsiTheme="majorBidi" w:cstheme="majorBidi"/>
          <w:sz w:val="24"/>
          <w:szCs w:val="24"/>
        </w:rPr>
        <w:t>Mundus</w:t>
      </w:r>
      <w:proofErr w:type="spellEnd"/>
      <w:r w:rsidRPr="006774DE">
        <w:rPr>
          <w:rFonts w:asciiTheme="majorBidi" w:hAnsiTheme="majorBidi" w:cstheme="majorBidi"/>
          <w:sz w:val="24"/>
          <w:szCs w:val="24"/>
        </w:rPr>
        <w:t xml:space="preserve"> scholarships and new bilateral initiatives being launched. These successes highlight student competitiveness, but universities must better translate international exposure into improved teaching and research at home.</w:t>
      </w:r>
    </w:p>
    <w:p w:rsidR="006774DE" w:rsidRPr="006774DE" w:rsidRDefault="006774DE" w:rsidP="006774DE">
      <w:pPr>
        <w:rPr>
          <w:rFonts w:asciiTheme="majorBidi" w:hAnsiTheme="majorBidi" w:cstheme="majorBidi"/>
          <w:sz w:val="24"/>
          <w:szCs w:val="24"/>
        </w:rPr>
      </w:pPr>
      <w:r w:rsidRPr="006774DE">
        <w:rPr>
          <w:rFonts w:asciiTheme="majorBidi" w:hAnsiTheme="majorBidi" w:cstheme="majorBidi"/>
          <w:sz w:val="24"/>
          <w:szCs w:val="24"/>
        </w:rPr>
        <w:t xml:space="preserve">Faculty development and governance training received sustained attention through NAHE-led </w:t>
      </w:r>
      <w:proofErr w:type="spellStart"/>
      <w:r w:rsidRPr="006774DE">
        <w:rPr>
          <w:rFonts w:asciiTheme="majorBidi" w:hAnsiTheme="majorBidi" w:cstheme="majorBidi"/>
          <w:sz w:val="24"/>
          <w:szCs w:val="24"/>
        </w:rPr>
        <w:t>programmes</w:t>
      </w:r>
      <w:proofErr w:type="spellEnd"/>
      <w:r w:rsidRPr="006774DE">
        <w:rPr>
          <w:rFonts w:asciiTheme="majorBidi" w:hAnsiTheme="majorBidi" w:cstheme="majorBidi"/>
          <w:sz w:val="24"/>
          <w:szCs w:val="24"/>
        </w:rPr>
        <w:t xml:space="preserve">, including overseas training, leadership initiatives and events such as FLAME 2025. While widely </w:t>
      </w:r>
      <w:proofErr w:type="spellStart"/>
      <w:r w:rsidRPr="006774DE">
        <w:rPr>
          <w:rFonts w:asciiTheme="majorBidi" w:hAnsiTheme="majorBidi" w:cstheme="majorBidi"/>
          <w:sz w:val="24"/>
          <w:szCs w:val="24"/>
        </w:rPr>
        <w:t>publicised</w:t>
      </w:r>
      <w:proofErr w:type="spellEnd"/>
      <w:r w:rsidRPr="006774DE">
        <w:rPr>
          <w:rFonts w:asciiTheme="majorBidi" w:hAnsiTheme="majorBidi" w:cstheme="majorBidi"/>
          <w:sz w:val="24"/>
          <w:szCs w:val="24"/>
        </w:rPr>
        <w:t>, their long-term impact will remain limited without parallel reforms in governance and financial autonomy.</w:t>
      </w:r>
    </w:p>
    <w:p w:rsidR="006774DE" w:rsidRPr="006774DE" w:rsidRDefault="006774DE" w:rsidP="006774DE">
      <w:pPr>
        <w:rPr>
          <w:rFonts w:asciiTheme="majorBidi" w:hAnsiTheme="majorBidi" w:cstheme="majorBidi"/>
          <w:sz w:val="24"/>
          <w:szCs w:val="24"/>
        </w:rPr>
      </w:pPr>
      <w:r w:rsidRPr="006774DE">
        <w:rPr>
          <w:rFonts w:asciiTheme="majorBidi" w:hAnsiTheme="majorBidi" w:cstheme="majorBidi"/>
          <w:sz w:val="24"/>
          <w:szCs w:val="24"/>
        </w:rPr>
        <w:t xml:space="preserve">Universities also engaged more visibly with social and civic issues, though such efforts often </w:t>
      </w:r>
      <w:proofErr w:type="gramStart"/>
      <w:r w:rsidRPr="006774DE">
        <w:rPr>
          <w:rFonts w:asciiTheme="majorBidi" w:hAnsiTheme="majorBidi" w:cstheme="majorBidi"/>
          <w:sz w:val="24"/>
          <w:szCs w:val="24"/>
        </w:rPr>
        <w:t>remained</w:t>
      </w:r>
      <w:proofErr w:type="gramEnd"/>
      <w:r w:rsidRPr="006774DE">
        <w:rPr>
          <w:rFonts w:asciiTheme="majorBidi" w:hAnsiTheme="majorBidi" w:cstheme="majorBidi"/>
          <w:sz w:val="24"/>
          <w:szCs w:val="24"/>
        </w:rPr>
        <w:t xml:space="preserve"> project-based rather than strategic.</w:t>
      </w:r>
    </w:p>
    <w:p w:rsidR="006774DE" w:rsidRPr="006774DE" w:rsidRDefault="006774DE" w:rsidP="006774DE">
      <w:pPr>
        <w:rPr>
          <w:rFonts w:asciiTheme="majorBidi" w:hAnsiTheme="majorBidi" w:cstheme="majorBidi"/>
          <w:sz w:val="24"/>
          <w:szCs w:val="24"/>
        </w:rPr>
      </w:pPr>
      <w:r w:rsidRPr="006774DE">
        <w:rPr>
          <w:rFonts w:asciiTheme="majorBidi" w:hAnsiTheme="majorBidi" w:cstheme="majorBidi"/>
          <w:sz w:val="24"/>
          <w:szCs w:val="24"/>
        </w:rPr>
        <w:t>Overall, 2025 marked a year of policy maturity but exposed persistent implementation gaps. As Pakistan enters 2026, the central challenge lies in strengthening institutions and ensuring sustained public investment, an issue that remains unresolved despite repeated commitments.</w:t>
      </w:r>
    </w:p>
    <w:p w:rsidR="006774DE" w:rsidRPr="006774DE" w:rsidRDefault="006774DE" w:rsidP="006774DE">
      <w:pPr>
        <w:rPr>
          <w:rFonts w:asciiTheme="majorBidi" w:hAnsiTheme="majorBidi" w:cstheme="majorBidi"/>
          <w:sz w:val="24"/>
          <w:szCs w:val="24"/>
        </w:rPr>
      </w:pPr>
      <w:r w:rsidRPr="006774DE">
        <w:rPr>
          <w:rFonts w:asciiTheme="majorBidi" w:hAnsiTheme="majorBidi" w:cstheme="majorBidi"/>
          <w:sz w:val="24"/>
          <w:szCs w:val="24"/>
        </w:rPr>
        <w:t xml:space="preserve">Muhammad </w:t>
      </w:r>
      <w:proofErr w:type="spellStart"/>
      <w:r w:rsidRPr="006774DE">
        <w:rPr>
          <w:rFonts w:asciiTheme="majorBidi" w:hAnsiTheme="majorBidi" w:cstheme="majorBidi"/>
          <w:sz w:val="24"/>
          <w:szCs w:val="24"/>
        </w:rPr>
        <w:t>Muneeb</w:t>
      </w:r>
      <w:proofErr w:type="spellEnd"/>
      <w:r w:rsidRPr="006774DE">
        <w:rPr>
          <w:rFonts w:asciiTheme="majorBidi" w:hAnsiTheme="majorBidi" w:cstheme="majorBidi"/>
          <w:sz w:val="24"/>
          <w:szCs w:val="24"/>
        </w:rPr>
        <w:t xml:space="preserve"> </w:t>
      </w:r>
      <w:proofErr w:type="gramStart"/>
      <w:r w:rsidRPr="006774DE">
        <w:rPr>
          <w:rFonts w:asciiTheme="majorBidi" w:hAnsiTheme="majorBidi" w:cstheme="majorBidi"/>
          <w:sz w:val="24"/>
          <w:szCs w:val="24"/>
        </w:rPr>
        <w:t>ur</w:t>
      </w:r>
      <w:proofErr w:type="gramEnd"/>
      <w:r w:rsidRPr="006774DE">
        <w:rPr>
          <w:rFonts w:asciiTheme="majorBidi" w:hAnsiTheme="majorBidi" w:cstheme="majorBidi"/>
          <w:sz w:val="24"/>
          <w:szCs w:val="24"/>
        </w:rPr>
        <w:t xml:space="preserve"> </w:t>
      </w:r>
      <w:proofErr w:type="spellStart"/>
      <w:r w:rsidRPr="006774DE">
        <w:rPr>
          <w:rFonts w:asciiTheme="majorBidi" w:hAnsiTheme="majorBidi" w:cstheme="majorBidi"/>
          <w:sz w:val="24"/>
          <w:szCs w:val="24"/>
        </w:rPr>
        <w:t>Rehman</w:t>
      </w:r>
      <w:proofErr w:type="spellEnd"/>
      <w:r w:rsidRPr="006774DE">
        <w:rPr>
          <w:rFonts w:asciiTheme="majorBidi" w:hAnsiTheme="majorBidi" w:cstheme="majorBidi"/>
          <w:sz w:val="24"/>
          <w:szCs w:val="24"/>
        </w:rPr>
        <w:br/>
        <w:t xml:space="preserve">The writer is a </w:t>
      </w:r>
      <w:proofErr w:type="spellStart"/>
      <w:r w:rsidRPr="006774DE">
        <w:rPr>
          <w:rFonts w:asciiTheme="majorBidi" w:hAnsiTheme="majorBidi" w:cstheme="majorBidi"/>
          <w:sz w:val="24"/>
          <w:szCs w:val="24"/>
        </w:rPr>
        <w:t>Tsinghua</w:t>
      </w:r>
      <w:proofErr w:type="spellEnd"/>
      <w:r w:rsidRPr="006774DE">
        <w:rPr>
          <w:rFonts w:asciiTheme="majorBidi" w:hAnsiTheme="majorBidi" w:cstheme="majorBidi"/>
          <w:sz w:val="24"/>
          <w:szCs w:val="24"/>
        </w:rPr>
        <w:t xml:space="preserve"> alum and a Gold </w:t>
      </w:r>
      <w:proofErr w:type="spellStart"/>
      <w:r w:rsidRPr="006774DE">
        <w:rPr>
          <w:rFonts w:asciiTheme="majorBidi" w:hAnsiTheme="majorBidi" w:cstheme="majorBidi"/>
          <w:sz w:val="24"/>
          <w:szCs w:val="24"/>
        </w:rPr>
        <w:t>Medallist</w:t>
      </w:r>
      <w:proofErr w:type="spellEnd"/>
      <w:r w:rsidRPr="006774DE">
        <w:rPr>
          <w:rFonts w:asciiTheme="majorBidi" w:hAnsiTheme="majorBidi" w:cstheme="majorBidi"/>
          <w:sz w:val="24"/>
          <w:szCs w:val="24"/>
        </w:rPr>
        <w:t xml:space="preserve"> in Public Policy. He can be reached at engr.mmrehman@gmail.com</w:t>
      </w:r>
    </w:p>
    <w:p w:rsidR="00C67CDF" w:rsidRPr="006774DE" w:rsidRDefault="00C67CDF" w:rsidP="006774DE">
      <w:pPr>
        <w:rPr>
          <w:rFonts w:asciiTheme="majorBidi" w:hAnsiTheme="majorBidi" w:cstheme="majorBidi"/>
          <w:sz w:val="24"/>
          <w:szCs w:val="24"/>
        </w:rPr>
      </w:pPr>
    </w:p>
    <w:sectPr w:rsidR="00C67CDF" w:rsidRPr="006774DE" w:rsidSect="00C67C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74DE"/>
    <w:rsid w:val="006774DE"/>
    <w:rsid w:val="00C67CD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CDF"/>
  </w:style>
  <w:style w:type="paragraph" w:styleId="Heading1">
    <w:name w:val="heading 1"/>
    <w:basedOn w:val="Normal"/>
    <w:link w:val="Heading1Char"/>
    <w:uiPriority w:val="9"/>
    <w:qFormat/>
    <w:rsid w:val="006774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4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4D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4D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774DE"/>
    <w:rPr>
      <w:color w:val="0000FF"/>
      <w:u w:val="single"/>
    </w:rPr>
  </w:style>
  <w:style w:type="paragraph" w:styleId="NormalWeb">
    <w:name w:val="Normal (Web)"/>
    <w:basedOn w:val="Normal"/>
    <w:uiPriority w:val="99"/>
    <w:semiHidden/>
    <w:unhideWhenUsed/>
    <w:rsid w:val="006774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74DE"/>
    <w:rPr>
      <w:b/>
      <w:bCs/>
    </w:rPr>
  </w:style>
</w:styles>
</file>

<file path=word/webSettings.xml><?xml version="1.0" encoding="utf-8"?>
<w:webSettings xmlns:r="http://schemas.openxmlformats.org/officeDocument/2006/relationships" xmlns:w="http://schemas.openxmlformats.org/wordprocessingml/2006/main">
  <w:divs>
    <w:div w:id="41638577">
      <w:bodyDiv w:val="1"/>
      <w:marLeft w:val="0"/>
      <w:marRight w:val="0"/>
      <w:marTop w:val="0"/>
      <w:marBottom w:val="0"/>
      <w:divBdr>
        <w:top w:val="none" w:sz="0" w:space="0" w:color="auto"/>
        <w:left w:val="none" w:sz="0" w:space="0" w:color="auto"/>
        <w:bottom w:val="none" w:sz="0" w:space="0" w:color="auto"/>
        <w:right w:val="none" w:sz="0" w:space="0" w:color="auto"/>
      </w:divBdr>
      <w:divsChild>
        <w:div w:id="440535992">
          <w:marLeft w:val="0"/>
          <w:marRight w:val="0"/>
          <w:marTop w:val="0"/>
          <w:marBottom w:val="450"/>
          <w:divBdr>
            <w:top w:val="none" w:sz="0" w:space="0" w:color="auto"/>
            <w:left w:val="none" w:sz="0" w:space="0" w:color="auto"/>
            <w:bottom w:val="none" w:sz="0" w:space="0" w:color="auto"/>
            <w:right w:val="none" w:sz="0" w:space="0" w:color="auto"/>
          </w:divBdr>
        </w:div>
        <w:div w:id="990595161">
          <w:marLeft w:val="0"/>
          <w:marRight w:val="0"/>
          <w:marTop w:val="0"/>
          <w:marBottom w:val="450"/>
          <w:divBdr>
            <w:top w:val="none" w:sz="0" w:space="0" w:color="auto"/>
            <w:left w:val="none" w:sz="0" w:space="0" w:color="auto"/>
            <w:bottom w:val="none" w:sz="0" w:space="0" w:color="auto"/>
            <w:right w:val="none" w:sz="0" w:space="0" w:color="auto"/>
          </w:divBdr>
          <w:divsChild>
            <w:div w:id="1552761956">
              <w:marLeft w:val="0"/>
              <w:marRight w:val="0"/>
              <w:marTop w:val="300"/>
              <w:marBottom w:val="0"/>
              <w:divBdr>
                <w:top w:val="none" w:sz="0" w:space="0" w:color="auto"/>
                <w:left w:val="none" w:sz="0" w:space="0" w:color="auto"/>
                <w:bottom w:val="none" w:sz="0" w:space="0" w:color="auto"/>
                <w:right w:val="none" w:sz="0" w:space="0" w:color="auto"/>
              </w:divBdr>
              <w:divsChild>
                <w:div w:id="797188077">
                  <w:marLeft w:val="0"/>
                  <w:marRight w:val="0"/>
                  <w:marTop w:val="0"/>
                  <w:marBottom w:val="225"/>
                  <w:divBdr>
                    <w:top w:val="none" w:sz="0" w:space="0" w:color="auto"/>
                    <w:left w:val="none" w:sz="0" w:space="0" w:color="auto"/>
                    <w:bottom w:val="none" w:sz="0" w:space="0" w:color="auto"/>
                    <w:right w:val="none" w:sz="0" w:space="0" w:color="auto"/>
                  </w:divBdr>
                  <w:divsChild>
                    <w:div w:id="232083039">
                      <w:marLeft w:val="0"/>
                      <w:marRight w:val="0"/>
                      <w:marTop w:val="0"/>
                      <w:marBottom w:val="0"/>
                      <w:divBdr>
                        <w:top w:val="none" w:sz="0" w:space="0" w:color="auto"/>
                        <w:left w:val="none" w:sz="0" w:space="0" w:color="auto"/>
                        <w:bottom w:val="none" w:sz="0" w:space="0" w:color="auto"/>
                        <w:right w:val="none" w:sz="0" w:space="0" w:color="auto"/>
                      </w:divBdr>
                      <w:divsChild>
                        <w:div w:id="432281792">
                          <w:marLeft w:val="0"/>
                          <w:marRight w:val="90"/>
                          <w:marTop w:val="0"/>
                          <w:marBottom w:val="0"/>
                          <w:divBdr>
                            <w:top w:val="none" w:sz="0" w:space="0" w:color="auto"/>
                            <w:left w:val="none" w:sz="0" w:space="0" w:color="auto"/>
                            <w:bottom w:val="none" w:sz="0" w:space="0" w:color="auto"/>
                            <w:right w:val="none" w:sz="0" w:space="0" w:color="auto"/>
                          </w:divBdr>
                        </w:div>
                        <w:div w:id="100539281">
                          <w:marLeft w:val="0"/>
                          <w:marRight w:val="90"/>
                          <w:marTop w:val="0"/>
                          <w:marBottom w:val="0"/>
                          <w:divBdr>
                            <w:top w:val="none" w:sz="0" w:space="0" w:color="auto"/>
                            <w:left w:val="none" w:sz="0" w:space="0" w:color="auto"/>
                            <w:bottom w:val="none" w:sz="0" w:space="0" w:color="auto"/>
                            <w:right w:val="none" w:sz="0" w:space="0" w:color="auto"/>
                          </w:divBdr>
                        </w:div>
                        <w:div w:id="45510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79118">
          <w:marLeft w:val="0"/>
          <w:marRight w:val="0"/>
          <w:marTop w:val="0"/>
          <w:marBottom w:val="450"/>
          <w:divBdr>
            <w:top w:val="none" w:sz="0" w:space="0" w:color="auto"/>
            <w:left w:val="none" w:sz="0" w:space="0" w:color="auto"/>
            <w:bottom w:val="none" w:sz="0" w:space="0" w:color="auto"/>
            <w:right w:val="none" w:sz="0" w:space="0" w:color="auto"/>
          </w:divBdr>
          <w:divsChild>
            <w:div w:id="740250220">
              <w:marLeft w:val="0"/>
              <w:marRight w:val="0"/>
              <w:marTop w:val="300"/>
              <w:marBottom w:val="300"/>
              <w:divBdr>
                <w:top w:val="none" w:sz="0" w:space="0" w:color="auto"/>
                <w:left w:val="none" w:sz="0" w:space="0" w:color="auto"/>
                <w:bottom w:val="none" w:sz="0" w:space="0" w:color="auto"/>
                <w:right w:val="none" w:sz="0" w:space="0" w:color="auto"/>
              </w:divBdr>
              <w:divsChild>
                <w:div w:id="591202686">
                  <w:marLeft w:val="0"/>
                  <w:marRight w:val="0"/>
                  <w:marTop w:val="0"/>
                  <w:marBottom w:val="0"/>
                  <w:divBdr>
                    <w:top w:val="none" w:sz="0" w:space="0" w:color="auto"/>
                    <w:left w:val="none" w:sz="0" w:space="0" w:color="auto"/>
                    <w:bottom w:val="none" w:sz="0" w:space="0" w:color="auto"/>
                    <w:right w:val="none" w:sz="0" w:space="0" w:color="auto"/>
                  </w:divBdr>
                </w:div>
              </w:divsChild>
            </w:div>
            <w:div w:id="1106538216">
              <w:marLeft w:val="0"/>
              <w:marRight w:val="0"/>
              <w:marTop w:val="300"/>
              <w:marBottom w:val="300"/>
              <w:divBdr>
                <w:top w:val="none" w:sz="0" w:space="0" w:color="auto"/>
                <w:left w:val="none" w:sz="0" w:space="0" w:color="auto"/>
                <w:bottom w:val="none" w:sz="0" w:space="0" w:color="auto"/>
                <w:right w:val="none" w:sz="0" w:space="0" w:color="auto"/>
              </w:divBdr>
              <w:divsChild>
                <w:div w:id="580412905">
                  <w:marLeft w:val="0"/>
                  <w:marRight w:val="0"/>
                  <w:marTop w:val="0"/>
                  <w:marBottom w:val="0"/>
                  <w:divBdr>
                    <w:top w:val="none" w:sz="0" w:space="0" w:color="auto"/>
                    <w:left w:val="none" w:sz="0" w:space="0" w:color="auto"/>
                    <w:bottom w:val="none" w:sz="0" w:space="0" w:color="auto"/>
                    <w:right w:val="none" w:sz="0" w:space="0" w:color="auto"/>
                  </w:divBdr>
                </w:div>
              </w:divsChild>
            </w:div>
            <w:div w:id="788595244">
              <w:marLeft w:val="0"/>
              <w:marRight w:val="0"/>
              <w:marTop w:val="300"/>
              <w:marBottom w:val="300"/>
              <w:divBdr>
                <w:top w:val="none" w:sz="0" w:space="0" w:color="auto"/>
                <w:left w:val="none" w:sz="0" w:space="0" w:color="auto"/>
                <w:bottom w:val="none" w:sz="0" w:space="0" w:color="auto"/>
                <w:right w:val="none" w:sz="0" w:space="0" w:color="auto"/>
              </w:divBdr>
              <w:divsChild>
                <w:div w:id="1560289700">
                  <w:marLeft w:val="0"/>
                  <w:marRight w:val="0"/>
                  <w:marTop w:val="0"/>
                  <w:marBottom w:val="0"/>
                  <w:divBdr>
                    <w:top w:val="none" w:sz="0" w:space="0" w:color="auto"/>
                    <w:left w:val="none" w:sz="0" w:space="0" w:color="auto"/>
                    <w:bottom w:val="none" w:sz="0" w:space="0" w:color="auto"/>
                    <w:right w:val="none" w:sz="0" w:space="0" w:color="auto"/>
                  </w:divBdr>
                </w:div>
              </w:divsChild>
            </w:div>
            <w:div w:id="1744639336">
              <w:marLeft w:val="0"/>
              <w:marRight w:val="0"/>
              <w:marTop w:val="300"/>
              <w:marBottom w:val="300"/>
              <w:divBdr>
                <w:top w:val="none" w:sz="0" w:space="0" w:color="auto"/>
                <w:left w:val="none" w:sz="0" w:space="0" w:color="auto"/>
                <w:bottom w:val="none" w:sz="0" w:space="0" w:color="auto"/>
                <w:right w:val="none" w:sz="0" w:space="0" w:color="auto"/>
              </w:divBdr>
              <w:divsChild>
                <w:div w:id="145548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591</Words>
  <Characters>3374</Characters>
  <Application>Microsoft Office Word</Application>
  <DocSecurity>0</DocSecurity>
  <Lines>28</Lines>
  <Paragraphs>7</Paragraphs>
  <ScaleCrop>false</ScaleCrop>
  <Company>Grizli777</Company>
  <LinksUpToDate>false</LinksUpToDate>
  <CharactersWithSpaces>3958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2026-01-01T04:56:00Z</dcterms:created>
  <dcterms:modified xsi:type="dcterms:W3CDTF">2026-01-01T04:59:00Z</dcterms:modified>
</cp:coreProperties>
</file>